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WDDR-2019-0030003</w:t>
      </w:r>
    </w:p>
    <w:p>
      <w:pPr>
        <w:jc w:val="left"/>
        <w:rPr>
          <w:rFonts w:hint="eastAsia" w:ascii="黑体" w:hAnsi="黑体" w:eastAsia="黑体" w:cs="黑体"/>
          <w:sz w:val="32"/>
          <w:szCs w:val="32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关于明确集中供热价格范围有关问题的</w:t>
      </w:r>
    </w:p>
    <w:p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威文发改发字〔2019〕11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各供热经营单位：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根据威海市人民政府令第65号《威海市供热管理办法》规定，为规范集中供暖价格行为，维护供用热双方的合法权益，现对居民集中供暖价格有关问题明确如下：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、供热性质按照不动产登记簿载明的房屋用途确定，居民供暖价格范围为：居民釆暖用热、学校教学设施和学生生活服务设施用热、城乡社区居民委员会的工作场所及非经营公益服务设施，养老机构等社会福利场所的生活服务设施用热、城乡居民住宅小区公共场所非经营性服务设施用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二、本通知自2019年10月16日起执行，有效期至2023年10月15日。原文登市物价局文价工发〔2013〕15号《关于调整居民集中供暖价格等有关问题的通知》与本文不一致的以本文为准。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威海市文登区发展和改革局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2019年10月15日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RmNjI4YjliODY0NTRjOGQyODM0ODcwNzFlNmNkOWUifQ=="/>
  </w:docVars>
  <w:rsids>
    <w:rsidRoot w:val="1D075E75"/>
    <w:rsid w:val="143274BB"/>
    <w:rsid w:val="1D075E75"/>
    <w:rsid w:val="54BC6DDD"/>
    <w:rsid w:val="5F7E2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334</Words>
  <Characters>375</Characters>
  <Lines>0</Lines>
  <Paragraphs>0</Paragraphs>
  <TotalTime>6</TotalTime>
  <ScaleCrop>false</ScaleCrop>
  <LinksUpToDate>false</LinksUpToDate>
  <CharactersWithSpaces>386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2020-12-30T08:33:00Z</dcterms:created>
  <dc:creator>种草的兔叽</dc:creator>
  <cp:lastModifiedBy>种草的兔叽</cp:lastModifiedBy>
  <dcterms:modified xsi:type="dcterms:W3CDTF">2022-11-15T05:58:35Z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6388C93EFF724A5BB4479CB00DCD138A</vt:lpwstr>
  </property>
</Properties>
</file>