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pacing w:val="8"/>
          <w:w w:val="95"/>
          <w:sz w:val="72"/>
          <w:highlight w:val="none"/>
          <w:lang w:val="en-US" w:eastAsia="zh-CN"/>
        </w:rPr>
      </w:pP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8"/>
          <w:w w:val="95"/>
          <w:sz w:val="70"/>
          <w:szCs w:val="70"/>
          <w:highlight w:val="none"/>
          <w:lang w:val="en-US" w:eastAsia="zh-CN"/>
        </w:rPr>
        <w:t>2024</w:t>
      </w:r>
      <w:r>
        <w:rPr>
          <w:rFonts w:hint="eastAsia" w:ascii="方正小标宋简体" w:hAnsi="方正小标宋简体" w:eastAsia="方正小标宋简体" w:cs="方正小标宋简体"/>
          <w:spacing w:val="4"/>
          <w:w w:val="95"/>
          <w:sz w:val="70"/>
          <w:szCs w:val="70"/>
          <w:highlight w:val="none"/>
        </w:rPr>
        <w:t>年</w:t>
      </w:r>
      <w:r>
        <w:rPr>
          <w:rFonts w:hint="eastAsia" w:ascii="方正小标宋简体" w:hAnsi="方正小标宋简体" w:eastAsia="方正小标宋简体" w:cs="方正小标宋简体"/>
          <w:spacing w:val="4"/>
          <w:w w:val="95"/>
          <w:sz w:val="70"/>
          <w:szCs w:val="70"/>
          <w:highlight w:val="none"/>
          <w:lang w:eastAsia="zh-CN"/>
        </w:rPr>
        <w:t>文登区政府</w:t>
      </w:r>
      <w:r>
        <w:rPr>
          <w:rFonts w:hint="eastAsia" w:ascii="方正小标宋简体" w:hAnsi="方正小标宋简体" w:eastAsia="方正小标宋简体" w:cs="方正小标宋简体"/>
          <w:spacing w:val="4"/>
          <w:w w:val="95"/>
          <w:sz w:val="70"/>
          <w:szCs w:val="70"/>
          <w:highlight w:val="none"/>
        </w:rPr>
        <w:t>决算</w:t>
      </w:r>
      <w:r>
        <w:rPr>
          <w:rFonts w:hint="eastAsia" w:ascii="方正小标宋简体" w:hAnsi="方正小标宋简体" w:eastAsia="方正小标宋简体" w:cs="方正小标宋简体"/>
          <w:spacing w:val="4"/>
          <w:w w:val="95"/>
          <w:sz w:val="70"/>
          <w:szCs w:val="70"/>
          <w:highlight w:val="none"/>
          <w:lang w:eastAsia="zh-CN"/>
        </w:rPr>
        <w:t>公开</w:t>
      </w: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4"/>
          <w:w w:val="95"/>
          <w:sz w:val="70"/>
          <w:szCs w:val="70"/>
          <w:highlight w:val="none"/>
          <w:lang w:eastAsia="zh-CN"/>
        </w:rPr>
        <w:t>其他相关情况</w:t>
      </w:r>
    </w:p>
    <w:p>
      <w:pPr>
        <w:jc w:val="both"/>
        <w:rPr>
          <w:rFonts w:hint="default" w:ascii="方正小标宋简体" w:hAnsi="方正小标宋简体" w:eastAsia="方正小标宋简体" w:cs="方正小标宋简体"/>
          <w:spacing w:val="4"/>
          <w:w w:val="95"/>
          <w:sz w:val="70"/>
          <w:szCs w:val="70"/>
          <w:highlight w:val="none"/>
          <w:lang w:val="en-US" w:eastAsia="zh-CN"/>
        </w:rPr>
      </w:pPr>
    </w:p>
    <w:tbl>
      <w:tblPr>
        <w:tblStyle w:val="19"/>
        <w:tblW w:w="8279" w:type="dxa"/>
        <w:tblInd w:w="93" w:type="dxa"/>
        <w:shd w:val="clear" w:color="auto" w:fill="auto"/>
        <w:tblLayout w:type="autofit"/>
        <w:tblCellMar>
          <w:top w:w="0" w:type="dxa"/>
          <w:left w:w="108" w:type="dxa"/>
          <w:bottom w:w="0" w:type="dxa"/>
          <w:right w:w="108" w:type="dxa"/>
        </w:tblCellMar>
      </w:tblPr>
      <w:tblGrid>
        <w:gridCol w:w="1871"/>
        <w:gridCol w:w="6408"/>
      </w:tblGrid>
      <w:tr>
        <w:tblPrEx>
          <w:shd w:val="clear" w:color="auto" w:fill="auto"/>
          <w:tblCellMar>
            <w:top w:w="0" w:type="dxa"/>
            <w:left w:w="108" w:type="dxa"/>
            <w:bottom w:w="0" w:type="dxa"/>
            <w:right w:w="108" w:type="dxa"/>
          </w:tblCellMar>
        </w:tblPrEx>
        <w:trPr>
          <w:trHeight w:val="510" w:hRule="atLeast"/>
        </w:trPr>
        <w:tc>
          <w:tcPr>
            <w:tcW w:w="1871" w:type="dxa"/>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附件1</w:t>
            </w:r>
          </w:p>
        </w:tc>
        <w:tc>
          <w:tcPr>
            <w:tcW w:w="640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2024年重大政策和重点项目绩效执行结果</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2024年财政转移支付安排说明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2024年文登区政府债务决算的说明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2024年三公经费分项数据及增减变化说明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2024年预算绩效工作开展情况</w:t>
            </w:r>
          </w:p>
        </w:tc>
      </w:tr>
    </w:tbl>
    <w:p>
      <w:pPr>
        <w:jc w:val="both"/>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ascii="方正小标宋简体" w:hAnsi="方正小标宋简体" w:eastAsia="方正小标宋简体" w:cs="方正小标宋简体"/>
          <w:spacing w:val="4"/>
          <w:w w:val="95"/>
          <w:sz w:val="20"/>
          <w:szCs w:val="20"/>
          <w:highlight w:val="none"/>
          <w:lang w:eastAsia="zh-CN"/>
        </w:rPr>
      </w:pPr>
    </w:p>
    <w:p>
      <w:pPr>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lang w:eastAsia="zh-CN"/>
        </w:r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val="en-US" w:eastAsia="zh-CN"/>
        </w:rPr>
      </w:pPr>
      <w:r>
        <w:rPr>
          <w:rFonts w:hint="eastAsia" w:ascii="仿宋_GB2312" w:hAnsi="仿宋_GB2312" w:eastAsia="仿宋_GB2312" w:cs="仿宋_GB2312"/>
          <w:b/>
          <w:bCs/>
          <w:spacing w:val="4"/>
          <w:w w:val="95"/>
          <w:sz w:val="24"/>
          <w:szCs w:val="24"/>
          <w:highlight w:val="none"/>
          <w:lang w:eastAsia="zh-CN"/>
        </w:rPr>
        <w:t>附件</w:t>
      </w:r>
      <w:r>
        <w:rPr>
          <w:rFonts w:hint="eastAsia" w:ascii="仿宋_GB2312" w:hAnsi="仿宋_GB2312" w:eastAsia="仿宋_GB2312" w:cs="仿宋_GB2312"/>
          <w:b/>
          <w:bCs/>
          <w:spacing w:val="4"/>
          <w:w w:val="95"/>
          <w:sz w:val="24"/>
          <w:szCs w:val="24"/>
          <w:highlight w:val="none"/>
          <w:lang w:val="en-US" w:eastAsia="zh-CN"/>
        </w:rPr>
        <w:t>1</w:t>
      </w:r>
    </w:p>
    <w:p>
      <w:pPr>
        <w:pStyle w:val="2"/>
        <w:rPr>
          <w:rFonts w:hint="eastAsia"/>
          <w:lang w:val="en-US" w:eastAsia="zh-CN"/>
        </w:rPr>
      </w:pPr>
    </w:p>
    <w:p>
      <w:pPr>
        <w:rPr>
          <w:rFonts w:hint="eastAsia"/>
          <w:lang w:val="en-US" w:eastAsia="zh-CN"/>
        </w:rPr>
      </w:pPr>
    </w:p>
    <w:p>
      <w:pPr>
        <w:pageBreakBefore w:val="0"/>
        <w:numPr>
          <w:ilvl w:val="0"/>
          <w:numId w:val="0"/>
        </w:numPr>
        <w:tabs>
          <w:tab w:val="left" w:pos="2101"/>
        </w:tabs>
        <w:kinsoku/>
        <w:wordWrap/>
        <w:topLinePunct w:val="0"/>
        <w:bidi w:val="0"/>
        <w:spacing w:before="49" w:line="560" w:lineRule="exact"/>
        <w:ind w:right="0" w:rightChars="0"/>
        <w:jc w:val="center"/>
        <w:rPr>
          <w:rFonts w:eastAsia="黑体"/>
          <w:b/>
          <w:bCs/>
          <w:sz w:val="36"/>
          <w:szCs w:val="36"/>
        </w:rPr>
      </w:pPr>
      <w:r>
        <w:rPr>
          <w:rFonts w:hint="eastAsia" w:ascii="方正小标宋简体" w:hAnsi="方正小标宋简体" w:eastAsia="方正小标宋简体" w:cs="方正小标宋简体"/>
          <w:sz w:val="44"/>
          <w:szCs w:val="44"/>
          <w:highlight w:val="none"/>
          <w:lang w:val="en-US" w:eastAsia="zh-CN"/>
        </w:rPr>
        <w:t>2024年重大政策及重点项目绩效执行结果</w:t>
      </w:r>
    </w:p>
    <w:p>
      <w:pPr>
        <w:pageBreakBefore w:val="0"/>
        <w:kinsoku/>
        <w:wordWrap/>
        <w:topLinePunct w:val="0"/>
        <w:bidi w:val="0"/>
        <w:spacing w:before="62" w:after="62" w:line="560" w:lineRule="exact"/>
        <w:ind w:firstLine="803"/>
        <w:jc w:val="center"/>
        <w:rPr>
          <w:b/>
          <w:bCs/>
          <w:sz w:val="40"/>
          <w:szCs w:val="40"/>
        </w:rPr>
      </w:pPr>
    </w:p>
    <w:p>
      <w:pPr>
        <w:autoSpaceDE w:val="0"/>
        <w:autoSpaceDN w:val="0"/>
        <w:adjustRightInd w:val="0"/>
        <w:spacing w:line="590" w:lineRule="exact"/>
        <w:ind w:firstLine="0" w:firstLineChars="0"/>
        <w:jc w:val="center"/>
        <w:rPr>
          <w:rFonts w:ascii="Times New Roman" w:hAnsi="Times New Roman" w:eastAsia="方正小标宋简体" w:cs="Times New Roman"/>
          <w:sz w:val="48"/>
          <w:szCs w:val="48"/>
        </w:rPr>
      </w:pPr>
    </w:p>
    <w:p>
      <w:pPr>
        <w:autoSpaceDE w:val="0"/>
        <w:autoSpaceDN w:val="0"/>
        <w:adjustRightInd w:val="0"/>
        <w:spacing w:line="590" w:lineRule="exact"/>
        <w:ind w:firstLine="0" w:firstLineChars="0"/>
        <w:jc w:val="center"/>
        <w:rPr>
          <w:rFonts w:ascii="仿宋" w:hAnsi="仿宋" w:eastAsia="仿宋" w:cs="仿宋"/>
          <w:b/>
          <w:bCs/>
          <w:color w:val="000000"/>
          <w:kern w:val="0"/>
          <w:sz w:val="44"/>
          <w:szCs w:val="44"/>
        </w:rPr>
      </w:pPr>
      <w:r>
        <w:rPr>
          <w:rFonts w:ascii="Times New Roman" w:hAnsi="Times New Roman" w:eastAsia="方正小标宋简体" w:cs="Times New Roman"/>
          <w:sz w:val="44"/>
          <w:szCs w:val="44"/>
        </w:rPr>
        <w:t>网格运行费</w:t>
      </w:r>
      <w:r>
        <w:rPr>
          <w:rFonts w:hint="eastAsia" w:ascii="Times New Roman" w:hAnsi="Times New Roman" w:eastAsia="方正小标宋简体" w:cs="Times New Roman"/>
          <w:sz w:val="44"/>
          <w:szCs w:val="44"/>
          <w:lang w:eastAsia="zh-CN"/>
        </w:rPr>
        <w:t>项目</w:t>
      </w:r>
      <w:r>
        <w:rPr>
          <w:rFonts w:ascii="Times New Roman" w:hAnsi="Times New Roman" w:eastAsia="方正小标宋简体" w:cs="Times New Roman"/>
          <w:sz w:val="44"/>
          <w:szCs w:val="44"/>
        </w:rPr>
        <w:t>绩效评价报告</w:t>
      </w:r>
    </w:p>
    <w:p>
      <w:pPr>
        <w:spacing w:line="590" w:lineRule="exact"/>
        <w:ind w:left="680" w:firstLine="640" w:firstLineChars="200"/>
        <w:rPr>
          <w:rFonts w:ascii="仿宋" w:hAnsi="仿宋" w:eastAsia="仿宋" w:cs="仿宋"/>
          <w:sz w:val="32"/>
        </w:rPr>
      </w:pPr>
    </w:p>
    <w:p>
      <w:pPr>
        <w:spacing w:line="590" w:lineRule="exact"/>
        <w:ind w:firstLine="640" w:firstLineChars="200"/>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pageBreakBefore w:val="0"/>
        <w:kinsoku/>
        <w:wordWrap/>
        <w:topLinePunct w:val="0"/>
        <w:bidi w:val="0"/>
        <w:spacing w:before="87" w:after="87" w:line="560" w:lineRule="exact"/>
        <w:rPr>
          <w:rFonts w:hint="eastAsia" w:ascii="仿宋" w:hAnsi="仿宋" w:cs="仿宋"/>
          <w:b/>
          <w:bCs/>
          <w:szCs w:val="24"/>
        </w:rPr>
      </w:pPr>
    </w:p>
    <w:p>
      <w:pPr>
        <w:pageBreakBefore w:val="0"/>
        <w:kinsoku/>
        <w:wordWrap/>
        <w:topLinePunct w:val="0"/>
        <w:bidi w:val="0"/>
        <w:spacing w:before="87" w:after="87" w:line="560" w:lineRule="exact"/>
        <w:jc w:val="center"/>
        <w:rPr>
          <w:rFonts w:hint="eastAsia" w:ascii="仿宋" w:hAnsi="仿宋" w:cs="仿宋"/>
          <w:b/>
          <w:bCs/>
          <w:szCs w:val="24"/>
        </w:rPr>
      </w:pPr>
      <w:r>
        <w:rPr>
          <w:rFonts w:hint="eastAsia" w:ascii="仿宋" w:hAnsi="仿宋" w:cs="仿宋"/>
          <w:b/>
          <w:bCs/>
          <w:szCs w:val="24"/>
        </w:rPr>
        <w:t>威海市文登区财政局</w:t>
      </w:r>
    </w:p>
    <w:p>
      <w:pPr>
        <w:pageBreakBefore w:val="0"/>
        <w:kinsoku/>
        <w:wordWrap/>
        <w:topLinePunct w:val="0"/>
        <w:bidi w:val="0"/>
        <w:spacing w:before="87" w:after="87" w:line="560" w:lineRule="exact"/>
        <w:jc w:val="center"/>
        <w:rPr>
          <w:rFonts w:hint="eastAsia" w:ascii="仿宋" w:hAnsi="仿宋" w:cs="仿宋"/>
          <w:b/>
          <w:bCs/>
          <w:szCs w:val="2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pgNumType w:fmt="decimal"/>
          <w:cols w:space="425" w:num="1"/>
          <w:docGrid w:type="lines" w:linePitch="312" w:charSpace="0"/>
        </w:sectPr>
      </w:pPr>
      <w:r>
        <w:rPr>
          <w:rFonts w:hint="eastAsia" w:ascii="仿宋" w:hAnsi="仿宋" w:cs="仿宋"/>
          <w:b/>
          <w:bCs/>
          <w:szCs w:val="24"/>
        </w:rPr>
        <w:t>评价时间</w:t>
      </w:r>
      <w:r>
        <w:rPr>
          <w:rFonts w:hint="eastAsia" w:ascii="仿宋" w:hAnsi="仿宋" w:cs="仿宋"/>
          <w:b/>
          <w:bCs/>
          <w:szCs w:val="24"/>
          <w:lang w:eastAsia="zh-CN"/>
        </w:rPr>
        <w:t>：</w:t>
      </w:r>
      <w:r>
        <w:rPr>
          <w:rFonts w:hint="eastAsia" w:ascii="仿宋" w:hAnsi="仿宋" w:cs="仿宋"/>
          <w:b/>
          <w:bCs/>
          <w:szCs w:val="24"/>
        </w:rPr>
        <w:t>202</w:t>
      </w:r>
      <w:r>
        <w:rPr>
          <w:rFonts w:hint="eastAsia" w:ascii="仿宋" w:hAnsi="仿宋" w:cs="仿宋"/>
          <w:b/>
          <w:bCs/>
          <w:szCs w:val="24"/>
          <w:lang w:val="en-US" w:eastAsia="zh-CN"/>
        </w:rPr>
        <w:t xml:space="preserve">5 </w:t>
      </w:r>
      <w:r>
        <w:rPr>
          <w:rFonts w:hint="eastAsia" w:ascii="仿宋" w:hAnsi="仿宋" w:cs="仿宋"/>
          <w:b/>
          <w:bCs/>
          <w:szCs w:val="24"/>
        </w:rPr>
        <w:t xml:space="preserve">年 </w:t>
      </w:r>
      <w:r>
        <w:rPr>
          <w:rFonts w:hint="eastAsia" w:ascii="仿宋" w:hAnsi="仿宋" w:cs="仿宋"/>
          <w:b/>
          <w:bCs/>
          <w:szCs w:val="24"/>
          <w:lang w:val="en-US" w:eastAsia="zh-CN"/>
        </w:rPr>
        <w:t>8</w:t>
      </w:r>
      <w:r>
        <w:rPr>
          <w:rFonts w:hint="eastAsia" w:ascii="仿宋" w:hAnsi="仿宋" w:cs="仿宋"/>
          <w:b/>
          <w:bCs/>
          <w:szCs w:val="24"/>
        </w:rPr>
        <w:t xml:space="preserve"> 月</w:t>
      </w:r>
    </w:p>
    <w:p>
      <w:pPr>
        <w:pStyle w:val="4"/>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rPr>
      </w:pPr>
      <w:bookmarkStart w:id="0" w:name="_Toc15710"/>
      <w:bookmarkStart w:id="1" w:name="_Toc25682"/>
      <w:r>
        <w:rPr>
          <w:rFonts w:hint="eastAsia" w:ascii="黑体" w:hAnsi="黑体" w:eastAsia="黑体" w:cs="黑体"/>
        </w:rPr>
        <w:t>一、项目概况</w:t>
      </w:r>
      <w:bookmarkEnd w:id="0"/>
      <w:bookmarkEnd w:id="1"/>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楷体_GB2312" w:cs="Times New Roman"/>
          <w:szCs w:val="22"/>
        </w:rPr>
      </w:pPr>
      <w:r>
        <w:rPr>
          <w:rFonts w:ascii="Times New Roman" w:hAnsi="Times New Roman" w:eastAsia="楷体_GB2312" w:cs="Times New Roman"/>
          <w:szCs w:val="22"/>
        </w:rPr>
        <w:t>（一）项目概况</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cs="Times New Roman"/>
          <w:lang w:eastAsia="zh-CN"/>
        </w:rPr>
      </w:pPr>
      <w:r>
        <w:rPr>
          <w:rFonts w:ascii="Times New Roman" w:hAnsi="Times New Roman" w:eastAsia="仿宋_GB2312" w:cs="Times New Roman"/>
          <w:lang w:eastAsia="zh-CN"/>
        </w:rPr>
        <w:t>1.立项背景</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cs="Times New Roman"/>
          <w:shd w:val="clear" w:color="auto" w:fill="FFFFFF"/>
          <w:lang w:eastAsia="zh-CN"/>
        </w:rPr>
      </w:pPr>
      <w:r>
        <w:rPr>
          <w:rFonts w:ascii="Times New Roman" w:hAnsi="Times New Roman" w:eastAsia="仿宋_GB2312" w:cs="Times New Roman"/>
          <w:shd w:val="clear" w:color="auto" w:fill="FFFFFF"/>
          <w:lang w:eastAsia="zh-CN"/>
        </w:rPr>
        <w:t>基层是贯彻落实党中央决策部署的“最后一公里”，社区是社会治理最小单元，其治理水平直接关系到每一位居民的幸福感与归属感。为贯彻落实全市优化整合服务平台提升基层治理效能暨城市基层党建全域提升攻坚推进会精神，着力化解基层治理突出问题，有效提升群众满意度，进一步提升基层社会治理能力和治理水平，2021年9月17日威海市文登区区委办公室、区政府办公室印发《关于加强党建引领基层社会治理的十条措施》，要求配强基层工作力量，明确基层人员考核要求和补贴标准，建设一支政治素质好、业务能力强、服务水平高的专业化、规范化、职业化的基层队伍，提高全区网格服务管理工作质效。</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cs="Times New Roman"/>
          <w:lang w:eastAsia="zh-CN"/>
        </w:rPr>
      </w:pPr>
      <w:r>
        <w:rPr>
          <w:rFonts w:ascii="Times New Roman" w:hAnsi="Times New Roman" w:eastAsia="仿宋_GB2312" w:cs="Times New Roman"/>
          <w:lang w:eastAsia="zh-CN"/>
        </w:rPr>
        <w:t>2.项目依据及内容</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根据2021年9月17日威海市文登区区委办公室、区政府办公室印发《关于加强党建引领基层社会治理的十条措施》、威文平安办〔2022〕6号关于印发《文登区专职网格员管理办法》《文登区兼职网格员管理办法》《文登区网格协管员管理办法（试行）》的通知等相关规定，威海市文登区社会治理服务中心（以下简称“区治理中心”）认真开展网格化治理工作，网格运行费具体内容如下：</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（1）负担城区网格协管员818人工作补贴（补贴标准4</w:t>
      </w:r>
      <w:r>
        <w:rPr>
          <w:rFonts w:hint="eastAsia" w:ascii="Times New Roman" w:hAnsi="Times New Roman" w:eastAsia="仿宋_GB2312" w:cs="Times New Roman"/>
          <w:shd w:val="clear" w:color="auto" w:fill="FFFFFF"/>
          <w:lang w:eastAsia="zh-CN"/>
        </w:rPr>
        <w:t>,</w:t>
      </w:r>
      <w:r>
        <w:rPr>
          <w:rFonts w:ascii="Times New Roman" w:hAnsi="Times New Roman" w:eastAsia="仿宋_GB2312" w:cs="Times New Roman"/>
          <w:shd w:val="clear" w:color="auto" w:fill="FFFFFF"/>
          <w:lang w:eastAsia="zh-CN"/>
        </w:rPr>
        <w:t>800元/年），农村协管员1293人工作补贴（补贴标准1</w:t>
      </w:r>
      <w:r>
        <w:rPr>
          <w:rFonts w:hint="eastAsia" w:ascii="Times New Roman" w:hAnsi="Times New Roman" w:eastAsia="仿宋_GB2312" w:cs="Times New Roman"/>
          <w:shd w:val="clear" w:color="auto" w:fill="FFFFFF"/>
          <w:lang w:eastAsia="zh-CN"/>
        </w:rPr>
        <w:t>,</w:t>
      </w:r>
      <w:r>
        <w:rPr>
          <w:rFonts w:ascii="Times New Roman" w:hAnsi="Times New Roman" w:eastAsia="仿宋_GB2312" w:cs="Times New Roman"/>
          <w:shd w:val="clear" w:color="auto" w:fill="FFFFFF"/>
          <w:lang w:eastAsia="zh-CN"/>
        </w:rPr>
        <w:t>000元/年）；</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（2）网格员1172人通讯费（标准为70元/人/月）；</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（3）威海市网格化服务管理信息系统二期费用（文登分摊部分）；</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cs="Times New Roman"/>
          <w:shd w:val="clear" w:color="auto" w:fill="FFFFFF"/>
          <w:lang w:eastAsia="zh-CN"/>
        </w:rPr>
      </w:pPr>
      <w:r>
        <w:rPr>
          <w:rFonts w:ascii="Times New Roman" w:hAnsi="Times New Roman" w:eastAsia="仿宋_GB2312" w:cs="Times New Roman"/>
          <w:shd w:val="clear" w:color="auto" w:fill="FFFFFF"/>
          <w:lang w:eastAsia="zh-CN"/>
        </w:rPr>
        <w:t>（4）网格员培训费、业务资料等印刷费</w:t>
      </w:r>
      <w:r>
        <w:rPr>
          <w:rFonts w:hint="eastAsia" w:ascii="Times New Roman" w:hAnsi="Times New Roman" w:eastAsia="仿宋_GB2312" w:cs="Times New Roman"/>
          <w:shd w:val="clear" w:color="auto" w:fill="FFFFFF"/>
          <w:lang w:eastAsia="zh-CN"/>
        </w:rPr>
        <w:t>。</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cs="Times New Roman"/>
          <w:lang w:eastAsia="zh-CN"/>
        </w:rPr>
      </w:pPr>
      <w:r>
        <w:rPr>
          <w:rFonts w:ascii="Times New Roman" w:hAnsi="Times New Roman" w:eastAsia="仿宋_GB2312" w:cs="Times New Roman"/>
          <w:lang w:eastAsia="zh-CN"/>
        </w:rPr>
        <w:t>3.资金投入及使用情况</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2024年本项目年初安排预算资金645万元，由于2024年5月区政府决定取消农村协管员，区治理中心将预算调整为554.56万元。</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2024年应付项目资金包括2024年1月至4月农村协管员补助51.02万元，2024年度城区协管员补助380.16万元，通讯费补贴97.75万元，威海市网格化服务管理信息系统二期合同款（文登分摊）21.25万元，简报等印刷费4.38万元，共计554.56万元。</w:t>
      </w:r>
    </w:p>
    <w:p>
      <w:pPr>
        <w:pStyle w:val="7"/>
        <w:keepNext w:val="0"/>
        <w:keepLines w:val="0"/>
        <w:pageBreakBefore w:val="0"/>
        <w:widowControl w:val="0"/>
        <w:kinsoku/>
        <w:wordWrap/>
        <w:overflowPunct/>
        <w:topLinePunct w:val="0"/>
        <w:bidi w:val="0"/>
        <w:adjustRightInd/>
        <w:snapToGrid/>
        <w:spacing w:line="560" w:lineRule="exact"/>
        <w:ind w:left="0" w:leftChars="0" w:firstLine="640" w:firstLineChars="200"/>
        <w:jc w:val="left"/>
        <w:textAlignment w:val="auto"/>
        <w:rPr>
          <w:rFonts w:ascii="Times New Roman" w:hAnsi="Times New Roman" w:eastAsia="仿宋_GB2312" w:cs="Times New Roman"/>
          <w:shd w:val="clear" w:color="auto" w:fill="FFFFFF"/>
          <w:lang w:eastAsia="zh-CN"/>
        </w:rPr>
      </w:pPr>
      <w:r>
        <w:rPr>
          <w:rFonts w:ascii="Times New Roman" w:hAnsi="Times New Roman" w:eastAsia="仿宋_GB2312" w:cs="Times New Roman"/>
          <w:shd w:val="clear" w:color="auto" w:fill="FFFFFF"/>
          <w:lang w:eastAsia="zh-CN"/>
        </w:rPr>
        <w:t>截至2024年12月31日，项目单位未收到财政拨付项目资金，截至</w:t>
      </w:r>
      <w:r>
        <w:rPr>
          <w:rFonts w:hint="eastAsia" w:ascii="Times New Roman" w:hAnsi="Times New Roman" w:eastAsia="仿宋_GB2312" w:cs="Times New Roman"/>
          <w:shd w:val="clear" w:color="auto" w:fill="FFFFFF"/>
          <w:lang w:eastAsia="zh-CN"/>
        </w:rPr>
        <w:t>评价日</w:t>
      </w:r>
      <w:r>
        <w:rPr>
          <w:rFonts w:ascii="Times New Roman" w:hAnsi="Times New Roman" w:eastAsia="仿宋_GB2312" w:cs="Times New Roman"/>
          <w:shd w:val="clear" w:color="auto" w:fill="FFFFFF"/>
          <w:lang w:eastAsia="zh-CN"/>
        </w:rPr>
        <w:t>，项目单位收到财政拨付项目资金12.38万元，资金到位率2.23%，项目单位支付项目资金8.38万元，预算执行率67.69%。</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4.评价得分</w:t>
      </w:r>
    </w:p>
    <w:p>
      <w:pPr>
        <w:pStyle w:val="55"/>
        <w:keepNext w:val="0"/>
        <w:keepLines w:val="0"/>
        <w:pageBreakBefore w:val="0"/>
        <w:widowControl w:val="0"/>
        <w:kinsoku/>
        <w:wordWrap/>
        <w:overflowPunct/>
        <w:topLinePunct w:val="0"/>
        <w:bidi w:val="0"/>
        <w:adjustRightInd/>
        <w:snapToGrid/>
        <w:spacing w:line="560" w:lineRule="exact"/>
        <w:ind w:right="108" w:firstLine="640" w:firstLineChars="200"/>
        <w:jc w:val="left"/>
        <w:textAlignment w:val="auto"/>
        <w:rPr>
          <w:rFonts w:ascii="Times New Roman" w:hAnsi="Times New Roman" w:eastAsia="仿宋_GB2312" w:cs="Times New Roman"/>
          <w:color w:val="auto"/>
          <w:kern w:val="0"/>
          <w:sz w:val="32"/>
          <w:szCs w:val="32"/>
          <w:shd w:val="clear" w:color="auto" w:fill="FFFFFF"/>
          <w:lang w:val="en-US" w:eastAsia="zh-CN" w:bidi="ar-SA"/>
        </w:rPr>
      </w:pPr>
      <w:r>
        <w:rPr>
          <w:rFonts w:ascii="Times New Roman" w:hAnsi="Times New Roman" w:eastAsia="仿宋_GB2312" w:cs="Times New Roman"/>
          <w:color w:val="auto"/>
          <w:kern w:val="0"/>
          <w:sz w:val="32"/>
          <w:szCs w:val="32"/>
          <w:shd w:val="clear" w:color="auto" w:fill="FFFFFF"/>
          <w:lang w:val="en-US" w:eastAsia="zh-CN" w:bidi="ar-SA"/>
        </w:rPr>
        <w:t>项目总体评分结果为</w:t>
      </w:r>
      <w:r>
        <w:rPr>
          <w:rFonts w:hint="eastAsia" w:ascii="Times New Roman" w:hAnsi="Times New Roman" w:eastAsia="仿宋_GB2312" w:cs="Times New Roman"/>
          <w:color w:val="auto"/>
          <w:kern w:val="0"/>
          <w:sz w:val="32"/>
          <w:szCs w:val="32"/>
          <w:shd w:val="clear" w:color="auto" w:fill="FFFFFF"/>
          <w:lang w:val="en-US" w:eastAsia="zh-CN" w:bidi="ar-SA"/>
        </w:rPr>
        <w:t>80</w:t>
      </w:r>
      <w:r>
        <w:rPr>
          <w:rFonts w:ascii="Times New Roman" w:hAnsi="Times New Roman" w:eastAsia="仿宋_GB2312" w:cs="Times New Roman"/>
          <w:color w:val="auto"/>
          <w:kern w:val="0"/>
          <w:sz w:val="32"/>
          <w:szCs w:val="32"/>
          <w:shd w:val="clear" w:color="auto" w:fill="FFFFFF"/>
          <w:lang w:val="en-US" w:eastAsia="zh-CN" w:bidi="ar-SA"/>
        </w:rPr>
        <w:t>.14分，评价等级为</w:t>
      </w:r>
      <w:r>
        <w:rPr>
          <w:rFonts w:hint="eastAsia" w:ascii="Times New Roman" w:hAnsi="Times New Roman" w:eastAsia="仿宋_GB2312" w:cs="Times New Roman"/>
          <w:color w:val="auto"/>
          <w:kern w:val="0"/>
          <w:sz w:val="32"/>
          <w:szCs w:val="32"/>
          <w:shd w:val="clear" w:color="auto" w:fill="FFFFFF"/>
          <w:lang w:val="en-US" w:eastAsia="zh-CN" w:bidi="ar-SA"/>
        </w:rPr>
        <w:t>良</w:t>
      </w:r>
      <w:r>
        <w:rPr>
          <w:rFonts w:ascii="Times New Roman" w:hAnsi="Times New Roman" w:eastAsia="仿宋_GB2312" w:cs="Times New Roman"/>
          <w:color w:val="auto"/>
          <w:kern w:val="0"/>
          <w:sz w:val="32"/>
          <w:szCs w:val="32"/>
          <w:shd w:val="clear" w:color="auto" w:fill="FFFFFF"/>
          <w:lang w:val="en-US" w:eastAsia="zh-CN" w:bidi="ar-SA"/>
        </w:rPr>
        <w:t>。综合评分得分情况如下：</w:t>
      </w:r>
    </w:p>
    <w:p>
      <w:pPr>
        <w:pStyle w:val="55"/>
        <w:pageBreakBefore w:val="0"/>
        <w:widowControl w:val="0"/>
        <w:kinsoku/>
        <w:wordWrap/>
        <w:overflowPunct/>
        <w:topLinePunct w:val="0"/>
        <w:bidi w:val="0"/>
        <w:adjustRightInd/>
        <w:snapToGrid/>
        <w:spacing w:line="560" w:lineRule="exact"/>
        <w:ind w:right="108"/>
        <w:jc w:val="center"/>
        <w:textAlignment w:val="auto"/>
        <w:rPr>
          <w:rFonts w:hAnsi="Times New Roman" w:eastAsia="黑体" w:cs="Times New Roman"/>
          <w:color w:val="auto"/>
          <w:kern w:val="0"/>
        </w:rPr>
      </w:pPr>
      <w:r>
        <w:rPr>
          <w:rFonts w:hAnsi="Times New Roman" w:eastAsia="黑体" w:cs="Times New Roman"/>
          <w:color w:val="auto"/>
          <w:kern w:val="0"/>
        </w:rPr>
        <w:t>绩效评价综合得分情况表</w:t>
      </w:r>
    </w:p>
    <w:tbl>
      <w:tblPr>
        <w:tblStyle w:val="20"/>
        <w:tblW w:w="0" w:type="auto"/>
        <w:tblInd w:w="67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3"/>
        <w:gridCol w:w="1417"/>
        <w:gridCol w:w="1276"/>
        <w:gridCol w:w="1276"/>
        <w:gridCol w:w="1417"/>
        <w:gridCol w:w="1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指标</w:t>
            </w:r>
          </w:p>
        </w:tc>
        <w:tc>
          <w:tcPr>
            <w:tcW w:w="1417"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决策</w:t>
            </w:r>
          </w:p>
        </w:tc>
        <w:tc>
          <w:tcPr>
            <w:tcW w:w="1276"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过程</w:t>
            </w:r>
          </w:p>
        </w:tc>
        <w:tc>
          <w:tcPr>
            <w:tcW w:w="1276" w:type="dxa"/>
            <w:tcBorders>
              <w:righ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产出</w:t>
            </w:r>
          </w:p>
        </w:tc>
        <w:tc>
          <w:tcPr>
            <w:tcW w:w="1417" w:type="dxa"/>
            <w:tcBorders>
              <w:lef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效益</w:t>
            </w:r>
          </w:p>
        </w:tc>
        <w:tc>
          <w:tcPr>
            <w:tcW w:w="1559"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合计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分值</w:t>
            </w:r>
          </w:p>
        </w:tc>
        <w:tc>
          <w:tcPr>
            <w:tcW w:w="1417"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15</w:t>
            </w:r>
          </w:p>
        </w:tc>
        <w:tc>
          <w:tcPr>
            <w:tcW w:w="1276"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20</w:t>
            </w:r>
          </w:p>
        </w:tc>
        <w:tc>
          <w:tcPr>
            <w:tcW w:w="1276" w:type="dxa"/>
            <w:tcBorders>
              <w:righ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45</w:t>
            </w:r>
          </w:p>
        </w:tc>
        <w:tc>
          <w:tcPr>
            <w:tcW w:w="1417" w:type="dxa"/>
            <w:tcBorders>
              <w:lef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20</w:t>
            </w:r>
          </w:p>
        </w:tc>
        <w:tc>
          <w:tcPr>
            <w:tcW w:w="1559"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得分</w:t>
            </w:r>
          </w:p>
        </w:tc>
        <w:tc>
          <w:tcPr>
            <w:tcW w:w="1417"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Ansi="Times New Roman" w:cs="Times New Roman" w:eastAsiaTheme="minorEastAsia"/>
                <w:color w:val="auto"/>
                <w:kern w:val="0"/>
              </w:rPr>
              <w:t>14.5</w:t>
            </w:r>
          </w:p>
        </w:tc>
        <w:tc>
          <w:tcPr>
            <w:tcW w:w="1276"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int="default" w:hAnsi="Times New Roman" w:cs="Times New Roman" w:eastAsiaTheme="minorEastAsia"/>
                <w:color w:val="auto"/>
                <w:kern w:val="0"/>
                <w:highlight w:val="yellow"/>
                <w:lang w:val="en-US" w:eastAsia="zh-CN"/>
              </w:rPr>
            </w:pPr>
            <w:r>
              <w:rPr>
                <w:rFonts w:hint="eastAsia" w:hAnsi="Times New Roman" w:cs="Times New Roman" w:eastAsiaTheme="minorEastAsia"/>
                <w:color w:val="auto"/>
                <w:kern w:val="0"/>
                <w:lang w:val="en-US" w:eastAsia="zh-CN"/>
              </w:rPr>
              <w:t>15.1</w:t>
            </w:r>
          </w:p>
        </w:tc>
        <w:tc>
          <w:tcPr>
            <w:tcW w:w="1276" w:type="dxa"/>
            <w:tcBorders>
              <w:righ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int="default" w:hAnsi="Times New Roman" w:cs="Times New Roman" w:eastAsiaTheme="minorEastAsia"/>
                <w:color w:val="auto"/>
                <w:kern w:val="0"/>
                <w:highlight w:val="yellow"/>
                <w:lang w:val="en-US" w:eastAsia="zh-CN"/>
              </w:rPr>
            </w:pPr>
            <w:r>
              <w:rPr>
                <w:rFonts w:hint="eastAsia" w:hAnsi="Times New Roman" w:cs="Times New Roman" w:eastAsiaTheme="minorEastAsia"/>
                <w:color w:val="auto"/>
                <w:kern w:val="0"/>
                <w:lang w:val="en-US" w:eastAsia="zh-CN"/>
              </w:rPr>
              <w:t>36.1</w:t>
            </w:r>
          </w:p>
        </w:tc>
        <w:tc>
          <w:tcPr>
            <w:tcW w:w="1417" w:type="dxa"/>
            <w:tcBorders>
              <w:lef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Ansi="Times New Roman" w:cs="Times New Roman" w:eastAsiaTheme="minorEastAsia"/>
                <w:color w:val="auto"/>
                <w:kern w:val="0"/>
              </w:rPr>
              <w:t>14.44</w:t>
            </w:r>
          </w:p>
        </w:tc>
        <w:tc>
          <w:tcPr>
            <w:tcW w:w="1559"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int="eastAsia" w:hAnsi="Times New Roman" w:cs="Times New Roman" w:eastAsiaTheme="minorEastAsia"/>
                <w:color w:val="auto"/>
                <w:kern w:val="0"/>
                <w:lang w:val="en-US" w:eastAsia="zh-CN"/>
              </w:rPr>
              <w:t>80</w:t>
            </w:r>
            <w:r>
              <w:rPr>
                <w:rFonts w:hAnsi="Times New Roman" w:cs="Times New Roman" w:eastAsiaTheme="minorEastAsia"/>
                <w:color w:val="auto"/>
                <w:kern w:val="0"/>
              </w:rPr>
              <w:t>.14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rPr>
            </w:pPr>
            <w:r>
              <w:rPr>
                <w:rFonts w:hAnsi="Times New Roman" w:cs="Times New Roman" w:eastAsiaTheme="minorEastAsia"/>
                <w:color w:val="auto"/>
                <w:kern w:val="0"/>
              </w:rPr>
              <w:t>得分率</w:t>
            </w:r>
          </w:p>
        </w:tc>
        <w:tc>
          <w:tcPr>
            <w:tcW w:w="1417"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Ansi="Times New Roman" w:cs="Times New Roman" w:eastAsiaTheme="minorEastAsia"/>
                <w:color w:val="auto"/>
                <w:kern w:val="0"/>
              </w:rPr>
              <w:t>96.67%</w:t>
            </w:r>
          </w:p>
        </w:tc>
        <w:tc>
          <w:tcPr>
            <w:tcW w:w="1276"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int="eastAsia" w:hAnsi="Times New Roman" w:cs="Times New Roman" w:eastAsiaTheme="minorEastAsia"/>
                <w:color w:val="auto"/>
                <w:kern w:val="0"/>
                <w:lang w:val="en-US" w:eastAsia="zh-CN"/>
              </w:rPr>
              <w:t>75.5</w:t>
            </w:r>
            <w:r>
              <w:rPr>
                <w:rFonts w:hAnsi="Times New Roman" w:cs="Times New Roman" w:eastAsiaTheme="minorEastAsia"/>
                <w:color w:val="auto"/>
                <w:kern w:val="0"/>
              </w:rPr>
              <w:t>%</w:t>
            </w:r>
          </w:p>
        </w:tc>
        <w:tc>
          <w:tcPr>
            <w:tcW w:w="1276" w:type="dxa"/>
            <w:tcBorders>
              <w:righ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int="eastAsia" w:hAnsi="Times New Roman" w:cs="Times New Roman" w:eastAsiaTheme="minorEastAsia"/>
                <w:color w:val="auto"/>
                <w:kern w:val="0"/>
                <w:lang w:val="en-US" w:eastAsia="zh-CN"/>
              </w:rPr>
              <w:t>80.22</w:t>
            </w:r>
            <w:r>
              <w:rPr>
                <w:rFonts w:hAnsi="Times New Roman" w:cs="Times New Roman" w:eastAsiaTheme="minorEastAsia"/>
                <w:color w:val="auto"/>
                <w:kern w:val="0"/>
              </w:rPr>
              <w:t>%</w:t>
            </w:r>
          </w:p>
        </w:tc>
        <w:tc>
          <w:tcPr>
            <w:tcW w:w="1417" w:type="dxa"/>
            <w:tcBorders>
              <w:left w:val="single" w:color="auto" w:sz="4" w:space="0"/>
            </w:tcBorders>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Ansi="Times New Roman" w:cs="Times New Roman" w:eastAsiaTheme="minorEastAsia"/>
                <w:color w:val="auto"/>
                <w:kern w:val="0"/>
              </w:rPr>
              <w:t>72.2%</w:t>
            </w:r>
          </w:p>
        </w:tc>
        <w:tc>
          <w:tcPr>
            <w:tcW w:w="1559" w:type="dxa"/>
            <w:vAlign w:val="center"/>
          </w:tcPr>
          <w:p>
            <w:pPr>
              <w:pStyle w:val="55"/>
              <w:pageBreakBefore w:val="0"/>
              <w:widowControl w:val="0"/>
              <w:kinsoku/>
              <w:wordWrap/>
              <w:overflowPunct/>
              <w:topLinePunct w:val="0"/>
              <w:bidi w:val="0"/>
              <w:adjustRightInd/>
              <w:snapToGrid/>
              <w:spacing w:line="560" w:lineRule="exact"/>
              <w:ind w:right="108" w:firstLine="0" w:firstLineChars="0"/>
              <w:jc w:val="left"/>
              <w:textAlignment w:val="auto"/>
              <w:rPr>
                <w:rFonts w:hAnsi="Times New Roman" w:cs="Times New Roman" w:eastAsiaTheme="minorEastAsia"/>
                <w:color w:val="auto"/>
                <w:kern w:val="0"/>
                <w:highlight w:val="yellow"/>
              </w:rPr>
            </w:pPr>
            <w:r>
              <w:rPr>
                <w:rFonts w:hint="eastAsia" w:hAnsi="Times New Roman" w:cs="Times New Roman" w:eastAsiaTheme="minorEastAsia"/>
                <w:color w:val="auto"/>
                <w:kern w:val="0"/>
                <w:lang w:val="en-US" w:eastAsia="zh-CN"/>
              </w:rPr>
              <w:t>80</w:t>
            </w:r>
            <w:r>
              <w:rPr>
                <w:rFonts w:hAnsi="Times New Roman" w:cs="Times New Roman" w:eastAsiaTheme="minorEastAsia"/>
                <w:color w:val="auto"/>
                <w:kern w:val="0"/>
              </w:rPr>
              <w:t>.14%</w:t>
            </w:r>
          </w:p>
        </w:tc>
      </w:tr>
    </w:tbl>
    <w:p>
      <w:pPr>
        <w:pStyle w:val="7"/>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640" w:firstLineChars="200"/>
        <w:jc w:val="left"/>
        <w:textAlignment w:val="auto"/>
        <w:rPr>
          <w:rFonts w:ascii="Times New Roman" w:hAnsi="Times New Roman" w:eastAsia="楷体_GB2312" w:cs="Times New Roman"/>
          <w:lang w:eastAsia="zh-CN"/>
        </w:rPr>
      </w:pPr>
      <w:bookmarkStart w:id="2" w:name="_Toc140002462"/>
      <w:bookmarkStart w:id="3" w:name="_Toc30110"/>
      <w:r>
        <w:rPr>
          <w:rFonts w:ascii="Times New Roman" w:hAnsi="Times New Roman" w:eastAsia="楷体_GB2312" w:cs="Times New Roman"/>
          <w:lang w:eastAsia="zh-CN"/>
        </w:rPr>
        <w:t>（二）项目绩效目标</w:t>
      </w:r>
      <w:bookmarkEnd w:id="2"/>
    </w:p>
    <w:p>
      <w:pPr>
        <w:pStyle w:val="7"/>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640" w:firstLineChars="200"/>
        <w:jc w:val="left"/>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1.总体目标</w:t>
      </w:r>
    </w:p>
    <w:p>
      <w:pPr>
        <w:pStyle w:val="7"/>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640" w:firstLineChars="200"/>
        <w:jc w:val="left"/>
        <w:textAlignment w:val="auto"/>
        <w:rPr>
          <w:rFonts w:ascii="Times New Roman" w:hAnsi="Times New Roman" w:cs="Times New Roman"/>
          <w:lang w:eastAsia="zh-CN"/>
        </w:rPr>
      </w:pPr>
      <w:r>
        <w:rPr>
          <w:rFonts w:ascii="Times New Roman" w:hAnsi="Times New Roman" w:eastAsia="仿宋_GB2312" w:cs="Times New Roman"/>
          <w:shd w:val="clear" w:color="auto" w:fill="FFFFFF"/>
          <w:lang w:eastAsia="zh-CN"/>
        </w:rPr>
        <w:t>建立并完善由区治理中心、镇街、社区领导下的基层网格队伍，确保网格化工作正常运转，着力化解基层治理突出问题，提升基层社会治理能力和治理水平，让“小网格”发挥“大作用”，进一步提升群众的幸福感、安全感、获得感。</w:t>
      </w:r>
    </w:p>
    <w:p>
      <w:pPr>
        <w:pStyle w:val="7"/>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640" w:firstLineChars="200"/>
        <w:jc w:val="left"/>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2.年度绩效目标</w:t>
      </w:r>
    </w:p>
    <w:p>
      <w:pPr>
        <w:pStyle w:val="7"/>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640" w:firstLineChars="200"/>
        <w:jc w:val="left"/>
        <w:textAlignment w:val="auto"/>
        <w:rPr>
          <w:rFonts w:hint="default" w:ascii="Times New Roman" w:hAnsi="Times New Roman" w:eastAsia="仿宋_GB2312" w:cs="Times New Roman"/>
          <w:shd w:val="clear" w:color="auto" w:fill="FFFFFF"/>
          <w:lang w:val="en-US" w:eastAsia="zh-CN"/>
        </w:rPr>
      </w:pPr>
      <w:r>
        <w:rPr>
          <w:rFonts w:hint="eastAsia" w:ascii="Times New Roman" w:hAnsi="Times New Roman" w:eastAsia="仿宋_GB2312" w:cs="Times New Roman"/>
          <w:shd w:val="clear" w:color="auto" w:fill="FFFFFF"/>
          <w:lang w:val="en-US" w:eastAsia="zh-CN"/>
        </w:rPr>
        <w:t>为确保网格化工作正常运转，网格运行费主要用于城区网格协管员818人，农村网格协管员1293人。保证补贴发放合规率达到100%，补贴发放及时性达到100%，补贴标准执行率达到100%，达到满足网格化治理提升工程需要，有利于保障管理服务效能提升认可度，使服务对象满意度达到95%以上的目标。</w:t>
      </w:r>
    </w:p>
    <w:p>
      <w:pPr>
        <w:pStyle w:val="4"/>
        <w:pageBreakBefore w:val="0"/>
        <w:widowControl w:val="0"/>
        <w:kinsoku/>
        <w:wordWrap/>
        <w:overflowPunct/>
        <w:topLinePunct w:val="0"/>
        <w:bidi w:val="0"/>
        <w:adjustRightInd/>
        <w:snapToGrid/>
        <w:spacing w:line="560" w:lineRule="exact"/>
        <w:ind w:firstLine="640" w:firstLineChars="200"/>
        <w:jc w:val="left"/>
        <w:textAlignment w:val="auto"/>
        <w:rPr>
          <w:rFonts w:ascii="Times New Roman" w:hAnsi="Times New Roman" w:cs="Times New Roman"/>
        </w:rPr>
      </w:pPr>
      <w:bookmarkStart w:id="4" w:name="_Toc13863"/>
      <w:r>
        <w:rPr>
          <w:rFonts w:ascii="Times New Roman" w:hAnsi="Times New Roman" w:cs="Times New Roman"/>
        </w:rPr>
        <w:t>二、主要经验做法</w:t>
      </w:r>
      <w:bookmarkEnd w:id="3"/>
      <w:bookmarkEnd w:id="4"/>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楷体_GB2312" w:cs="Times New Roman"/>
          <w:szCs w:val="32"/>
        </w:rPr>
      </w:pPr>
      <w:r>
        <w:rPr>
          <w:rFonts w:ascii="Times New Roman" w:hAnsi="Times New Roman" w:eastAsia="楷体_GB2312" w:cs="Times New Roman"/>
          <w:szCs w:val="32"/>
        </w:rPr>
        <w:t>（一）创新培训模式，培训指导常态化。</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楷体_GB2312" w:cs="Times New Roman"/>
          <w:szCs w:val="32"/>
        </w:rPr>
      </w:pPr>
      <w:r>
        <w:rPr>
          <w:rFonts w:ascii="Times New Roman" w:hAnsi="Times New Roman" w:eastAsia="楷体_GB2312" w:cs="Times New Roman"/>
          <w:szCs w:val="32"/>
        </w:rPr>
        <w:t>（二）对镇街“一对一把脉”。</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szCs w:val="32"/>
        </w:rPr>
      </w:pPr>
      <w:r>
        <w:rPr>
          <w:rFonts w:ascii="Times New Roman" w:hAnsi="Times New Roman" w:eastAsia="楷体_GB2312" w:cs="Times New Roman"/>
          <w:szCs w:val="32"/>
        </w:rPr>
        <w:t>（三）实行三级管理，完善考核监督机制。</w:t>
      </w:r>
    </w:p>
    <w:p>
      <w:pPr>
        <w:pStyle w:val="4"/>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Times New Roman" w:hAnsi="Times New Roman" w:cs="Times New Roman"/>
        </w:rPr>
      </w:pPr>
      <w:bookmarkStart w:id="5" w:name="_Toc19146"/>
      <w:bookmarkStart w:id="6" w:name="_Toc4627"/>
      <w:r>
        <w:rPr>
          <w:rFonts w:ascii="Times New Roman" w:hAnsi="Times New Roman" w:cs="Times New Roman"/>
        </w:rPr>
        <w:t>三、存在的问题</w:t>
      </w:r>
      <w:bookmarkEnd w:id="5"/>
      <w:bookmarkEnd w:id="6"/>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楷体_GB2312" w:hAnsi="楷体_GB2312" w:eastAsia="楷体_GB2312" w:cs="楷体_GB2312"/>
        </w:rPr>
        <w:t>（一）部分项目内容现实需求不迫切，不具备立项必要性。</w:t>
      </w:r>
      <w:r>
        <w:rPr>
          <w:rFonts w:ascii="Times New Roman" w:hAnsi="Times New Roman" w:eastAsia="仿宋_GB2312" w:cs="Times New Roman"/>
          <w:color w:val="auto"/>
          <w:kern w:val="0"/>
          <w:sz w:val="32"/>
          <w:szCs w:val="32"/>
          <w:shd w:val="clear" w:color="auto" w:fill="FFFFFF"/>
          <w:lang w:val="en-US" w:eastAsia="zh-CN" w:bidi="ar-SA"/>
        </w:rPr>
        <w:t>经现场走访及调查问卷，发现该项目中城区网格协管员工作补贴支出虽有相关政策依据，但现实需求不迫切。</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kern w:val="0"/>
          <w:sz w:val="32"/>
          <w:szCs w:val="32"/>
          <w:shd w:val="clear" w:color="auto" w:fill="FFFFFF"/>
          <w:lang w:val="en-US" w:eastAsia="zh-CN" w:bidi="ar-SA"/>
        </w:rPr>
      </w:pPr>
      <w:r>
        <w:rPr>
          <w:rFonts w:ascii="Times New Roman" w:hAnsi="Times New Roman" w:eastAsia="楷体_GB2312" w:cs="Times New Roman"/>
        </w:rPr>
        <w:t>（二）协管员工作参与度低，协助作用甚微。</w:t>
      </w:r>
      <w:r>
        <w:rPr>
          <w:rFonts w:ascii="Times New Roman" w:hAnsi="Times New Roman" w:eastAsia="仿宋_GB2312" w:cs="Times New Roman"/>
          <w:color w:val="auto"/>
          <w:kern w:val="0"/>
          <w:sz w:val="32"/>
          <w:szCs w:val="32"/>
          <w:shd w:val="clear" w:color="auto" w:fill="FFFFFF"/>
          <w:lang w:val="en-US" w:eastAsia="zh-CN" w:bidi="ar-SA"/>
        </w:rPr>
        <w:t>经现场走访和调查问卷，2023年到2025年期间，协管员仅偶尔参与网格工作，也未参与社区组织的培训、会议等，个别社区已经完全停止了协管员的工作。协管员对网格工作的协助作用甚微。</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kern w:val="0"/>
          <w:sz w:val="32"/>
          <w:szCs w:val="32"/>
          <w:shd w:val="clear" w:color="auto" w:fill="FFFFFF"/>
          <w:lang w:val="en-US" w:eastAsia="zh-CN" w:bidi="ar-SA"/>
        </w:rPr>
      </w:pPr>
      <w:r>
        <w:rPr>
          <w:rFonts w:ascii="Times New Roman" w:hAnsi="Times New Roman" w:eastAsia="楷体_GB2312" w:cs="Times New Roman"/>
        </w:rPr>
        <w:t>（三）镇街未对协管员进行考核或考核无相关依据。</w:t>
      </w:r>
      <w:r>
        <w:rPr>
          <w:rFonts w:ascii="Times New Roman" w:hAnsi="Times New Roman" w:eastAsia="仿宋_GB2312" w:cs="Times New Roman"/>
          <w:color w:val="auto"/>
          <w:kern w:val="0"/>
          <w:sz w:val="32"/>
          <w:szCs w:val="32"/>
          <w:shd w:val="clear" w:color="auto" w:fill="FFFFFF"/>
          <w:lang w:val="en-US" w:eastAsia="zh-CN" w:bidi="ar-SA"/>
        </w:rPr>
        <w:t>环山街道和龙山街道未对协管员进行考核，天福街道、金山综合服务中心、文登营东城社区虽对协管员进行考核，但考核主观性较强，没有加分扣分依据。</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kern w:val="0"/>
          <w:sz w:val="32"/>
          <w:szCs w:val="32"/>
          <w:shd w:val="clear" w:color="auto" w:fill="FFFFFF"/>
          <w:lang w:val="en-US" w:eastAsia="zh-CN" w:bidi="ar-SA"/>
        </w:rPr>
      </w:pPr>
      <w:r>
        <w:rPr>
          <w:rFonts w:hint="eastAsia" w:ascii="楷体_GB2312" w:hAnsi="楷体_GB2312" w:eastAsia="楷体_GB2312" w:cs="楷体_GB2312"/>
        </w:rPr>
        <w:t>（四）通讯费未签订合同，未按实际需求调整套餐标准。</w:t>
      </w:r>
      <w:r>
        <w:rPr>
          <w:rFonts w:ascii="Times New Roman" w:hAnsi="Times New Roman" w:eastAsia="仿宋_GB2312" w:cs="Times New Roman"/>
          <w:color w:val="auto"/>
          <w:kern w:val="0"/>
          <w:sz w:val="32"/>
          <w:szCs w:val="32"/>
          <w:shd w:val="clear" w:color="auto" w:fill="FFFFFF"/>
          <w:lang w:val="en-US" w:eastAsia="zh-CN" w:bidi="ar-SA"/>
        </w:rPr>
        <w:t>2023年和2024年未签订新的合同，仍沿用以前年度的套餐标准，未按</w:t>
      </w:r>
      <w:r>
        <w:rPr>
          <w:rFonts w:hint="eastAsia" w:ascii="Times New Roman" w:hAnsi="Times New Roman" w:eastAsia="仿宋_GB2312" w:cs="Times New Roman"/>
          <w:color w:val="auto"/>
          <w:kern w:val="0"/>
          <w:sz w:val="32"/>
          <w:szCs w:val="32"/>
          <w:shd w:val="clear" w:color="auto" w:fill="FFFFFF"/>
          <w:lang w:val="en-US" w:eastAsia="zh-CN" w:bidi="ar-SA"/>
        </w:rPr>
        <w:t>实际需求</w:t>
      </w:r>
      <w:r>
        <w:rPr>
          <w:rFonts w:ascii="Times New Roman" w:hAnsi="Times New Roman" w:eastAsia="仿宋_GB2312" w:cs="Times New Roman"/>
          <w:color w:val="auto"/>
          <w:kern w:val="0"/>
          <w:sz w:val="32"/>
          <w:szCs w:val="32"/>
          <w:shd w:val="clear" w:color="auto" w:fill="FFFFFF"/>
          <w:lang w:val="en-US" w:eastAsia="zh-CN" w:bidi="ar-SA"/>
        </w:rPr>
        <w:t>对套餐标准进行调整，影响通讯费使用的经济性。</w:t>
      </w:r>
    </w:p>
    <w:p>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bookmarkStart w:id="7" w:name="_Toc14956"/>
      <w:bookmarkStart w:id="8" w:name="_Toc8966"/>
      <w:r>
        <w:rPr>
          <w:rFonts w:ascii="Times New Roman" w:hAnsi="Times New Roman" w:cs="Times New Roman"/>
        </w:rPr>
        <w:t>四、意见及建议</w:t>
      </w:r>
      <w:bookmarkEnd w:id="7"/>
      <w:bookmarkEnd w:id="8"/>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cs="仿宋_GB2312"/>
        </w:rPr>
      </w:pPr>
      <w:r>
        <w:rPr>
          <w:rFonts w:hint="eastAsia" w:ascii="楷体_GB2312" w:hAnsi="楷体_GB2312" w:eastAsia="楷体_GB2312" w:cs="楷体_GB2312"/>
        </w:rPr>
        <w:t>（一）充分考虑现实需求，取消城区</w:t>
      </w:r>
      <w:r>
        <w:rPr>
          <w:rFonts w:hint="eastAsia" w:ascii="楷体_GB2312" w:hAnsi="楷体_GB2312" w:eastAsia="楷体_GB2312" w:cs="楷体_GB2312"/>
          <w:lang w:val="en-US" w:eastAsia="zh-CN"/>
        </w:rPr>
        <w:t>网格</w:t>
      </w:r>
      <w:r>
        <w:rPr>
          <w:rFonts w:hint="eastAsia" w:ascii="楷体_GB2312" w:hAnsi="楷体_GB2312" w:eastAsia="楷体_GB2312" w:cs="楷体_GB2312"/>
        </w:rPr>
        <w:t>协管员</w:t>
      </w:r>
      <w:r>
        <w:rPr>
          <w:rFonts w:hint="eastAsia" w:ascii="楷体_GB2312" w:hAnsi="楷体_GB2312" w:eastAsia="楷体_GB2312" w:cs="楷体_GB2312"/>
          <w:lang w:val="en-US" w:eastAsia="zh-CN"/>
        </w:rPr>
        <w:t>的配置</w:t>
      </w:r>
      <w:r>
        <w:rPr>
          <w:rFonts w:hint="eastAsia" w:ascii="楷体_GB2312" w:hAnsi="楷体_GB2312" w:eastAsia="楷体_GB2312" w:cs="楷体_GB2312"/>
        </w:rPr>
        <w:t>。</w:t>
      </w:r>
      <w:r>
        <w:rPr>
          <w:rFonts w:hint="eastAsia" w:ascii="Times New Roman" w:hAnsi="Times New Roman" w:eastAsia="仿宋_GB2312" w:cs="Times New Roman"/>
          <w:color w:val="auto"/>
          <w:kern w:val="0"/>
          <w:sz w:val="32"/>
          <w:szCs w:val="32"/>
          <w:shd w:val="clear" w:color="auto" w:fill="FFFFFF"/>
          <w:lang w:val="en-US" w:eastAsia="zh-CN" w:bidi="ar-SA"/>
        </w:rPr>
        <w:t>建议切实履行过紧日子要求，取消城区网格协管员的配置，以网格员为主导，压实网格员工作职责，同时发动志愿者、公益岗、楼长、物业工作人员等多方力量参与网格治理，共同促进网格治理效能的提升。</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kern w:val="0"/>
          <w:sz w:val="32"/>
          <w:szCs w:val="32"/>
          <w:shd w:val="clear" w:color="auto" w:fill="FFFFFF"/>
          <w:lang w:val="en-US" w:eastAsia="zh-CN" w:bidi="ar-SA"/>
        </w:rPr>
      </w:pPr>
      <w:r>
        <w:rPr>
          <w:rFonts w:hint="eastAsia" w:ascii="楷体_GB2312" w:hAnsi="楷体_GB2312" w:eastAsia="楷体_GB2312" w:cs="楷体_GB2312"/>
        </w:rPr>
        <w:t>（二）提高考核客观性，重视考核结果应用。</w:t>
      </w:r>
      <w:r>
        <w:rPr>
          <w:rFonts w:hint="eastAsia" w:ascii="Times New Roman" w:hAnsi="Times New Roman" w:eastAsia="仿宋_GB2312" w:cs="Times New Roman"/>
          <w:color w:val="auto"/>
          <w:kern w:val="0"/>
          <w:sz w:val="32"/>
          <w:szCs w:val="32"/>
          <w:shd w:val="clear" w:color="auto" w:fill="FFFFFF"/>
          <w:lang w:val="en-US" w:eastAsia="zh-CN" w:bidi="ar-SA"/>
        </w:rPr>
        <w:t>建议各镇街根据实际工作量和工作效果进行考核，多进行可量化指标的考核，并将考核结果与解聘续聘、薪酬待遇、奖励惩戒、岗位调整等挂钩，切实将考核结果应用到实处，进一步提升治理水平。</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b/>
          <w:bCs/>
          <w:sz w:val="40"/>
          <w:szCs w:val="40"/>
        </w:rPr>
      </w:pPr>
      <w:r>
        <w:rPr>
          <w:rFonts w:hint="eastAsia" w:ascii="楷体_GB2312" w:hAnsi="楷体_GB2312" w:eastAsia="楷体_GB2312" w:cs="楷体_GB2312"/>
        </w:rPr>
        <w:t>（三）及时续签合同，按实际需求调整套餐标准。</w:t>
      </w:r>
      <w:r>
        <w:rPr>
          <w:rFonts w:hint="eastAsia" w:ascii="Times New Roman" w:hAnsi="Times New Roman" w:eastAsia="仿宋_GB2312" w:cs="Times New Roman"/>
          <w:color w:val="auto"/>
          <w:kern w:val="0"/>
          <w:sz w:val="32"/>
          <w:szCs w:val="32"/>
          <w:shd w:val="clear" w:color="auto" w:fill="FFFFFF"/>
          <w:lang w:val="en-US" w:eastAsia="zh-CN" w:bidi="ar-SA"/>
        </w:rPr>
        <w:t>建议通讯费合同到期后及时与供应商沟通协调，充分考虑网格员以前年度使用套餐情况，以保障工作需求为前提，厉行节约杜绝浪费为原则确定新年度套餐标准，及时续签合同，规范双方的权利义务，提高通讯费补贴资金的经济性。</w:t>
      </w:r>
      <w:r>
        <w:rPr>
          <w:rFonts w:ascii="仿宋" w:hAnsi="仿宋" w:eastAsia="仿宋" w:cs="仿宋"/>
          <w:b/>
          <w:bCs/>
          <w:sz w:val="40"/>
          <w:szCs w:val="40"/>
        </w:rPr>
        <w:br w:type="page"/>
      </w:r>
    </w:p>
    <w:p>
      <w:pPr>
        <w:pStyle w:val="2"/>
        <w:rPr>
          <w:rFonts w:ascii="仿宋" w:hAnsi="仿宋" w:eastAsia="仿宋" w:cs="仿宋"/>
          <w:b/>
          <w:bCs/>
          <w:sz w:val="40"/>
          <w:szCs w:val="40"/>
        </w:rPr>
      </w:pPr>
    </w:p>
    <w:p>
      <w:pPr>
        <w:rPr>
          <w:rFonts w:ascii="仿宋" w:hAnsi="仿宋" w:eastAsia="仿宋" w:cs="仿宋"/>
          <w:b/>
          <w:bCs/>
          <w:sz w:val="40"/>
          <w:szCs w:val="40"/>
        </w:rPr>
      </w:pPr>
    </w:p>
    <w:p>
      <w:pPr>
        <w:pStyle w:val="2"/>
        <w:rPr>
          <w:rFonts w:ascii="仿宋" w:hAnsi="仿宋" w:eastAsia="仿宋" w:cs="仿宋"/>
          <w:b/>
          <w:bCs/>
          <w:sz w:val="40"/>
          <w:szCs w:val="40"/>
        </w:rPr>
      </w:pPr>
    </w:p>
    <w:p>
      <w:pPr>
        <w:rPr>
          <w:rFonts w:hint="eastAsia"/>
          <w:lang w:val="en-US" w:eastAsia="zh-CN"/>
        </w:rPr>
      </w:pP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lang w:val="en-US" w:eastAsia="zh-CN"/>
        </w:rPr>
      </w:pPr>
      <w:r>
        <w:rPr>
          <w:rFonts w:hint="eastAsia" w:ascii="方正小标宋简体" w:hAnsi="方正小标宋简体" w:eastAsia="方正小标宋简体" w:cs="方正小标宋简体"/>
          <w:b/>
          <w:bCs/>
          <w:color w:val="000000"/>
          <w:kern w:val="0"/>
          <w:sz w:val="44"/>
          <w:szCs w:val="44"/>
          <w:lang w:val="en-US" w:eastAsia="zh-CN"/>
        </w:rPr>
        <w:t>2024年文登区检测费项目</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lang w:val="en-US" w:eastAsia="zh-CN"/>
        </w:rPr>
        <w:t>绩效评价报告</w:t>
      </w:r>
    </w:p>
    <w:p>
      <w:pPr>
        <w:autoSpaceDE w:val="0"/>
        <w:autoSpaceDN w:val="0"/>
        <w:adjustRightInd w:val="0"/>
        <w:spacing w:line="590" w:lineRule="exact"/>
        <w:ind w:firstLine="0" w:firstLineChars="0"/>
        <w:jc w:val="center"/>
        <w:rPr>
          <w:rFonts w:ascii="仿宋" w:hAnsi="仿宋" w:eastAsia="仿宋" w:cs="仿宋"/>
          <w:b/>
          <w:bCs/>
          <w:color w:val="000000"/>
          <w:kern w:val="0"/>
          <w:sz w:val="52"/>
          <w:szCs w:val="52"/>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2" w:type="first"/>
          <w:footerReference r:id="rId15" w:type="first"/>
          <w:headerReference r:id="rId10" w:type="default"/>
          <w:footerReference r:id="rId13" w:type="default"/>
          <w:headerReference r:id="rId11" w:type="even"/>
          <w:footerReference r:id="rId14" w:type="even"/>
          <w:pgSz w:w="11850" w:h="16783"/>
          <w:pgMar w:top="1440" w:right="1440" w:bottom="1440" w:left="1440" w:header="737" w:footer="1077" w:gutter="0"/>
          <w:pgNumType w:fmt="decimal"/>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5</w:t>
      </w:r>
      <w:r>
        <w:rPr>
          <w:rFonts w:hint="eastAsia" w:ascii="仿宋" w:hAnsi="仿宋" w:eastAsia="仿宋" w:cs="仿宋"/>
          <w:b/>
          <w:bCs/>
          <w:sz w:val="32"/>
          <w:szCs w:val="24"/>
        </w:rPr>
        <w:t xml:space="preserve"> 年 </w:t>
      </w:r>
      <w:r>
        <w:rPr>
          <w:rFonts w:hint="eastAsia" w:ascii="仿宋" w:hAnsi="仿宋" w:eastAsia="仿宋" w:cs="仿宋"/>
          <w:b/>
          <w:bCs/>
          <w:sz w:val="32"/>
          <w:szCs w:val="24"/>
          <w:lang w:val="en-US" w:eastAsia="zh-CN"/>
        </w:rPr>
        <w:t>8</w:t>
      </w:r>
      <w:r>
        <w:rPr>
          <w:rFonts w:hint="eastAsia" w:ascii="仿宋" w:hAnsi="仿宋" w:eastAsia="仿宋" w:cs="仿宋"/>
          <w:b/>
          <w:bCs/>
          <w:sz w:val="32"/>
          <w:szCs w:val="24"/>
        </w:rPr>
        <w:t xml:space="preserve"> 月</w:t>
      </w:r>
    </w:p>
    <w:p>
      <w:pPr>
        <w:pStyle w:val="3"/>
        <w:numPr>
          <w:ilvl w:val="0"/>
          <w:numId w:val="0"/>
        </w:numPr>
        <w:spacing w:line="560" w:lineRule="exact"/>
        <w:ind w:left="0" w:leftChars="0" w:firstLine="640" w:firstLineChars="200"/>
        <w:rPr>
          <w:rFonts w:eastAsia="仿宋_GB2312"/>
        </w:rPr>
      </w:pPr>
      <w:bookmarkStart w:id="9" w:name="_Toc45741717"/>
      <w:bookmarkStart w:id="10" w:name="_Toc19555"/>
      <w:bookmarkStart w:id="11" w:name="_Toc17548"/>
      <w:bookmarkStart w:id="12" w:name="_Toc14199"/>
      <w:bookmarkStart w:id="13" w:name="_Toc401761504"/>
      <w:bookmarkStart w:id="14" w:name="_Toc14658"/>
      <w:bookmarkStart w:id="15" w:name="_Toc48873001"/>
      <w:bookmarkStart w:id="16" w:name="_Toc109805674"/>
      <w:r>
        <w:rPr>
          <w:rFonts w:hint="eastAsia" w:ascii="Times New Roman" w:hAnsi="Times New Roman" w:eastAsia="仿宋_GB2312" w:cs="Times New Roman"/>
          <w:bCs/>
          <w:kern w:val="44"/>
          <w:sz w:val="32"/>
          <w:szCs w:val="44"/>
          <w:lang w:val="zh-CN" w:eastAsia="zh-CN" w:bidi="ar-SA"/>
        </w:rPr>
        <w:t>一、</w:t>
      </w:r>
      <w:r>
        <w:rPr>
          <w:rFonts w:eastAsia="仿宋_GB2312"/>
        </w:rPr>
        <w:t>项目概况</w:t>
      </w:r>
      <w:bookmarkEnd w:id="9"/>
      <w:bookmarkEnd w:id="10"/>
      <w:bookmarkEnd w:id="11"/>
      <w:bookmarkEnd w:id="12"/>
      <w:bookmarkEnd w:id="13"/>
      <w:bookmarkEnd w:id="14"/>
      <w:bookmarkEnd w:id="15"/>
    </w:p>
    <w:p>
      <w:pPr>
        <w:pStyle w:val="4"/>
        <w:numPr>
          <w:ilvl w:val="0"/>
          <w:numId w:val="0"/>
        </w:numPr>
        <w:spacing w:before="0" w:after="0" w:line="560" w:lineRule="exact"/>
        <w:ind w:left="68" w:leftChars="0" w:firstLine="562" w:firstLineChars="0"/>
        <w:jc w:val="left"/>
        <w:rPr>
          <w:rFonts w:ascii="Times New Roman" w:hAnsi="Times New Roman" w:eastAsia="仿宋_GB2312" w:cs="Times New Roman"/>
        </w:rPr>
      </w:pPr>
      <w:bookmarkStart w:id="17" w:name="_Toc14121"/>
      <w:bookmarkStart w:id="18" w:name="_Toc8340"/>
      <w:bookmarkStart w:id="19" w:name="_Toc13411"/>
      <w:bookmarkStart w:id="20" w:name="_Toc447725732"/>
      <w:r>
        <w:rPr>
          <w:rFonts w:hint="eastAsia" w:ascii="Times New Roman" w:hAnsi="Times New Roman" w:eastAsia="仿宋_GB2312" w:cs="Times New Roman"/>
          <w:b w:val="0"/>
          <w:bCs w:val="0"/>
          <w:color w:val="auto"/>
          <w:kern w:val="2"/>
          <w:sz w:val="28"/>
          <w:szCs w:val="32"/>
          <w:shd w:val="clear" w:color="auto" w:fill="auto"/>
          <w:lang w:val="en-US" w:eastAsia="zh-CN" w:bidi="ar-SA"/>
        </w:rPr>
        <w:t>（一）</w:t>
      </w:r>
      <w:r>
        <w:rPr>
          <w:rFonts w:ascii="Times New Roman" w:hAnsi="Times New Roman" w:eastAsia="仿宋_GB2312" w:cs="Times New Roman"/>
        </w:rPr>
        <w:t>主要内容及实施情况</w:t>
      </w:r>
      <w:bookmarkEnd w:id="17"/>
    </w:p>
    <w:p>
      <w:pPr>
        <w:widowControl/>
        <w:spacing w:line="560" w:lineRule="exact"/>
        <w:ind w:firstLine="560" w:firstLineChars="200"/>
        <w:jc w:val="lef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根据威海市文登区人民政府办公室《关于印发威海市文登区检验检测中心主要职责内设机构和人员编制规定的通知》（文政办发〔2014〕14号）规定，</w:t>
      </w:r>
      <w:r>
        <w:rPr>
          <w:rFonts w:hint="eastAsia" w:ascii="Times New Roman" w:hAnsi="Times New Roman" w:eastAsia="仿宋_GB2312" w:cs="Times New Roman"/>
          <w:kern w:val="0"/>
          <w:sz w:val="28"/>
          <w:szCs w:val="28"/>
        </w:rPr>
        <w:t>文登区检验检测中心</w:t>
      </w:r>
      <w:r>
        <w:rPr>
          <w:rFonts w:ascii="Times New Roman" w:hAnsi="Times New Roman" w:eastAsia="仿宋_GB2312" w:cs="Times New Roman"/>
          <w:kern w:val="0"/>
          <w:sz w:val="28"/>
          <w:szCs w:val="28"/>
        </w:rPr>
        <w:t>有受相关执法监管部门和社会委托，提供检验检测服务的职能。区检验检测中心</w:t>
      </w:r>
      <w:r>
        <w:rPr>
          <w:rFonts w:hint="eastAsia" w:ascii="Times New Roman" w:hAnsi="Times New Roman" w:eastAsia="仿宋_GB2312" w:cs="Times New Roman"/>
          <w:kern w:val="0"/>
          <w:sz w:val="28"/>
          <w:szCs w:val="28"/>
        </w:rPr>
        <w:t>承担全区工业产品及食品相关产品的检验检测工作；承担全区食品（含保健食品）、食品加工用水、生活饮用水、公共环境生活饮用水等的检验检测工作，为政府部门开展产品质量监督和评价工作提供技术支撑和质量分析；承担全区农产品（包括种植业产品、畜产品、水产品）、农业投入品及农业种养殖环境的检验检测和风险检测工作；受相关职能部门委托承担有关产品的抽样工作。</w:t>
      </w:r>
    </w:p>
    <w:p>
      <w:pPr>
        <w:widowControl/>
        <w:spacing w:line="560" w:lineRule="exact"/>
        <w:ind w:firstLine="560" w:firstLineChars="200"/>
        <w:jc w:val="lef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2024年文登区检验检测中心</w:t>
      </w:r>
      <w:r>
        <w:rPr>
          <w:rFonts w:ascii="Times New Roman" w:hAnsi="Times New Roman" w:eastAsia="仿宋_GB2312" w:cs="Times New Roman"/>
          <w:kern w:val="0"/>
          <w:sz w:val="28"/>
          <w:szCs w:val="28"/>
        </w:rPr>
        <w:t>计划抽检样品</w:t>
      </w:r>
      <w:r>
        <w:rPr>
          <w:rFonts w:hint="eastAsia" w:ascii="Times New Roman" w:hAnsi="Times New Roman" w:eastAsia="仿宋_GB2312" w:cs="Times New Roman"/>
          <w:kern w:val="0"/>
          <w:sz w:val="28"/>
          <w:szCs w:val="28"/>
        </w:rPr>
        <w:t>5379</w:t>
      </w:r>
      <w:r>
        <w:rPr>
          <w:rFonts w:ascii="Times New Roman" w:hAnsi="Times New Roman" w:eastAsia="仿宋_GB2312" w:cs="Times New Roman"/>
          <w:kern w:val="0"/>
          <w:sz w:val="28"/>
          <w:szCs w:val="28"/>
        </w:rPr>
        <w:t>批次，</w:t>
      </w:r>
      <w:r>
        <w:rPr>
          <w:rFonts w:hint="eastAsia" w:ascii="Times New Roman" w:hAnsi="Times New Roman" w:eastAsia="仿宋_GB2312" w:cs="Times New Roman"/>
          <w:kern w:val="0"/>
          <w:sz w:val="28"/>
          <w:szCs w:val="28"/>
        </w:rPr>
        <w:t>检测项目包含食品检测、工业品检测、生鲜奶及畜产品检测、农产品和农药化肥检测、农村饮水供水单位水质检测、中小学直饮水检测、农产品产地环境监测、水产品质量抽检。</w:t>
      </w:r>
    </w:p>
    <w:p>
      <w:pPr>
        <w:widowControl/>
        <w:spacing w:line="560" w:lineRule="exact"/>
        <w:ind w:firstLine="560" w:firstLineChars="200"/>
        <w:jc w:val="lef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2024年</w:t>
      </w:r>
      <w:r>
        <w:rPr>
          <w:rFonts w:ascii="Times New Roman" w:hAnsi="Times New Roman" w:eastAsia="仿宋_GB2312" w:cs="Times New Roman"/>
          <w:kern w:val="0"/>
          <w:sz w:val="28"/>
          <w:szCs w:val="28"/>
        </w:rPr>
        <w:t>实际</w:t>
      </w:r>
      <w:r>
        <w:rPr>
          <w:rFonts w:hint="eastAsia" w:ascii="Times New Roman" w:hAnsi="Times New Roman" w:eastAsia="仿宋_GB2312" w:cs="Times New Roman"/>
          <w:kern w:val="0"/>
          <w:sz w:val="28"/>
          <w:szCs w:val="28"/>
        </w:rPr>
        <w:t>检测4998</w:t>
      </w:r>
      <w:r>
        <w:rPr>
          <w:rFonts w:ascii="Times New Roman" w:hAnsi="Times New Roman" w:eastAsia="仿宋_GB2312" w:cs="Times New Roman"/>
          <w:kern w:val="0"/>
          <w:sz w:val="28"/>
          <w:szCs w:val="28"/>
        </w:rPr>
        <w:t>批次，其中</w:t>
      </w:r>
      <w:r>
        <w:rPr>
          <w:rFonts w:hint="eastAsia" w:ascii="Times New Roman" w:hAnsi="Times New Roman" w:eastAsia="仿宋_GB2312" w:cs="Times New Roman"/>
          <w:kern w:val="0"/>
          <w:sz w:val="28"/>
          <w:szCs w:val="28"/>
        </w:rPr>
        <w:t>区</w:t>
      </w:r>
      <w:r>
        <w:rPr>
          <w:rFonts w:ascii="Times New Roman" w:hAnsi="Times New Roman" w:eastAsia="仿宋_GB2312" w:cs="Times New Roman"/>
          <w:kern w:val="0"/>
          <w:sz w:val="28"/>
          <w:szCs w:val="28"/>
        </w:rPr>
        <w:t>检验检测中心</w:t>
      </w:r>
      <w:r>
        <w:rPr>
          <w:rFonts w:hint="eastAsia" w:ascii="Times New Roman" w:hAnsi="Times New Roman" w:eastAsia="仿宋_GB2312" w:cs="Times New Roman"/>
          <w:kern w:val="0"/>
          <w:sz w:val="28"/>
          <w:szCs w:val="28"/>
        </w:rPr>
        <w:t>自检3589</w:t>
      </w:r>
      <w:r>
        <w:rPr>
          <w:rFonts w:ascii="Times New Roman" w:hAnsi="Times New Roman" w:eastAsia="仿宋_GB2312" w:cs="Times New Roman"/>
          <w:kern w:val="0"/>
          <w:sz w:val="28"/>
          <w:szCs w:val="28"/>
        </w:rPr>
        <w:t>批次</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通过招标采购委托</w:t>
      </w:r>
      <w:r>
        <w:rPr>
          <w:rFonts w:hint="eastAsia" w:ascii="Times New Roman" w:hAnsi="Times New Roman" w:eastAsia="仿宋_GB2312" w:cs="Times New Roman"/>
          <w:kern w:val="0"/>
          <w:sz w:val="28"/>
          <w:szCs w:val="28"/>
        </w:rPr>
        <w:t>鲁健检测科技有限公司、中维安全检测认证集团有限公司、山东益源检验检测有限公司、山东时进检测服务有限公司、山东匠造检测有限公司5</w:t>
      </w:r>
      <w:r>
        <w:rPr>
          <w:rFonts w:ascii="Times New Roman" w:hAnsi="Times New Roman" w:eastAsia="仿宋_GB2312" w:cs="Times New Roman"/>
          <w:kern w:val="0"/>
          <w:sz w:val="28"/>
          <w:szCs w:val="28"/>
        </w:rPr>
        <w:t>家</w:t>
      </w:r>
      <w:r>
        <w:rPr>
          <w:rFonts w:hint="eastAsia" w:ascii="Times New Roman" w:hAnsi="Times New Roman" w:eastAsia="仿宋_GB2312" w:cs="Times New Roman"/>
          <w:kern w:val="0"/>
          <w:sz w:val="28"/>
          <w:szCs w:val="28"/>
        </w:rPr>
        <w:t>承检机构负责食品检测</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外检887批次，分包</w:t>
      </w:r>
      <w:r>
        <w:rPr>
          <w:rFonts w:ascii="Times New Roman" w:hAnsi="Times New Roman" w:eastAsia="仿宋_GB2312" w:cs="Times New Roman"/>
          <w:kern w:val="0"/>
          <w:sz w:val="28"/>
          <w:szCs w:val="28"/>
        </w:rPr>
        <w:t>检测</w:t>
      </w:r>
      <w:r>
        <w:rPr>
          <w:rFonts w:hint="eastAsia" w:ascii="Times New Roman" w:hAnsi="Times New Roman" w:eastAsia="仿宋_GB2312" w:cs="Times New Roman"/>
          <w:kern w:val="0"/>
          <w:sz w:val="28"/>
          <w:szCs w:val="28"/>
        </w:rPr>
        <w:t>798</w:t>
      </w:r>
      <w:r>
        <w:rPr>
          <w:rFonts w:ascii="Times New Roman" w:hAnsi="Times New Roman" w:eastAsia="仿宋_GB2312" w:cs="Times New Roman"/>
          <w:kern w:val="0"/>
          <w:sz w:val="28"/>
          <w:szCs w:val="28"/>
        </w:rPr>
        <w:t>批次</w:t>
      </w:r>
      <w:r>
        <w:rPr>
          <w:rFonts w:hint="eastAsia" w:ascii="Times New Roman" w:hAnsi="Times New Roman" w:eastAsia="仿宋_GB2312" w:cs="Times New Roman"/>
          <w:kern w:val="0"/>
          <w:sz w:val="28"/>
          <w:szCs w:val="28"/>
        </w:rPr>
        <w:t>，抽样、买样2202批次；</w:t>
      </w:r>
      <w:r>
        <w:rPr>
          <w:rFonts w:ascii="Times New Roman" w:hAnsi="Times New Roman" w:eastAsia="仿宋_GB2312" w:cs="Times New Roman"/>
          <w:kern w:val="0"/>
          <w:sz w:val="28"/>
          <w:szCs w:val="28"/>
        </w:rPr>
        <w:t>通过招标采购委托</w:t>
      </w:r>
      <w:r>
        <w:rPr>
          <w:rFonts w:hint="eastAsia" w:ascii="Times New Roman" w:hAnsi="Times New Roman" w:eastAsia="仿宋_GB2312" w:cs="Times New Roman"/>
          <w:kern w:val="0"/>
          <w:sz w:val="28"/>
          <w:szCs w:val="28"/>
        </w:rPr>
        <w:t>山东腾翔产品质量检测有限公司、斯坦德检测集团股份有限公司2</w:t>
      </w:r>
      <w:r>
        <w:rPr>
          <w:rFonts w:ascii="Times New Roman" w:hAnsi="Times New Roman" w:eastAsia="仿宋_GB2312" w:cs="Times New Roman"/>
          <w:kern w:val="0"/>
          <w:sz w:val="28"/>
          <w:szCs w:val="28"/>
        </w:rPr>
        <w:t>家</w:t>
      </w:r>
      <w:r>
        <w:rPr>
          <w:rFonts w:hint="eastAsia" w:ascii="Times New Roman" w:hAnsi="Times New Roman" w:eastAsia="仿宋_GB2312" w:cs="Times New Roman"/>
          <w:kern w:val="0"/>
          <w:sz w:val="28"/>
          <w:szCs w:val="28"/>
        </w:rPr>
        <w:t>承检机构负责工业品检测</w:t>
      </w:r>
      <w:r>
        <w:rPr>
          <w:rFonts w:ascii="Times New Roman" w:hAnsi="Times New Roman" w:eastAsia="仿宋_GB2312" w:cs="Times New Roman"/>
          <w:kern w:val="0"/>
          <w:sz w:val="28"/>
          <w:szCs w:val="28"/>
        </w:rPr>
        <w:t>，共检测</w:t>
      </w:r>
      <w:r>
        <w:rPr>
          <w:rFonts w:hint="eastAsia" w:ascii="Times New Roman" w:hAnsi="Times New Roman" w:eastAsia="仿宋_GB2312" w:cs="Times New Roman"/>
          <w:kern w:val="0"/>
          <w:sz w:val="28"/>
          <w:szCs w:val="28"/>
        </w:rPr>
        <w:t>468</w:t>
      </w:r>
      <w:r>
        <w:rPr>
          <w:rFonts w:ascii="Times New Roman" w:hAnsi="Times New Roman" w:eastAsia="仿宋_GB2312" w:cs="Times New Roman"/>
          <w:kern w:val="0"/>
          <w:sz w:val="28"/>
          <w:szCs w:val="28"/>
        </w:rPr>
        <w:t>批次</w:t>
      </w:r>
      <w:r>
        <w:rPr>
          <w:rFonts w:hint="eastAsia" w:ascii="Times New Roman" w:hAnsi="Times New Roman" w:eastAsia="仿宋_GB2312" w:cs="Times New Roman"/>
          <w:kern w:val="0"/>
          <w:sz w:val="28"/>
          <w:szCs w:val="28"/>
        </w:rPr>
        <w:t>；此外通过委托检测的方式委托诸城绿安检测有限公司、山东威瑞信试验检测有限公司、青岛市华测检测技术有限公司、青岛海关等4家机构进行了54批次的送检检测</w:t>
      </w:r>
      <w:r>
        <w:rPr>
          <w:rFonts w:ascii="Times New Roman" w:hAnsi="Times New Roman" w:eastAsia="仿宋_GB2312" w:cs="Times New Roman"/>
          <w:kern w:val="0"/>
          <w:sz w:val="28"/>
          <w:szCs w:val="28"/>
        </w:rPr>
        <w:t>。</w:t>
      </w:r>
    </w:p>
    <w:p>
      <w:pPr>
        <w:pStyle w:val="15"/>
        <w:spacing w:line="560" w:lineRule="exact"/>
        <w:ind w:firstLine="0" w:firstLineChars="0"/>
        <w:jc w:val="center"/>
        <w:rPr>
          <w:sz w:val="24"/>
          <w:szCs w:val="24"/>
          <w:lang w:val="en-US"/>
        </w:rPr>
      </w:pPr>
      <w:r>
        <w:rPr>
          <w:sz w:val="24"/>
          <w:szCs w:val="24"/>
          <w:lang w:val="en-US"/>
        </w:rPr>
        <w:t>表1</w:t>
      </w:r>
      <w:r>
        <w:rPr>
          <w:rFonts w:hint="eastAsia"/>
          <w:sz w:val="24"/>
          <w:szCs w:val="24"/>
          <w:lang w:val="en-US"/>
        </w:rPr>
        <w:t>-1</w:t>
      </w:r>
      <w:r>
        <w:rPr>
          <w:sz w:val="24"/>
          <w:szCs w:val="24"/>
          <w:lang w:val="en-US"/>
        </w:rPr>
        <w:t>.</w:t>
      </w:r>
      <w:r>
        <w:rPr>
          <w:rFonts w:hint="eastAsia"/>
          <w:sz w:val="24"/>
          <w:szCs w:val="24"/>
          <w:lang w:val="en-US"/>
        </w:rPr>
        <w:t>2024年文登区检测费项目检测批次</w:t>
      </w:r>
    </w:p>
    <w:tbl>
      <w:tblPr>
        <w:tblStyle w:val="19"/>
        <w:tblW w:w="5000" w:type="pct"/>
        <w:tblInd w:w="0" w:type="dxa"/>
        <w:tblLayout w:type="fixed"/>
        <w:tblCellMar>
          <w:top w:w="0" w:type="dxa"/>
          <w:left w:w="108" w:type="dxa"/>
          <w:bottom w:w="0" w:type="dxa"/>
          <w:right w:w="108" w:type="dxa"/>
        </w:tblCellMar>
      </w:tblPr>
      <w:tblGrid>
        <w:gridCol w:w="1000"/>
        <w:gridCol w:w="4054"/>
        <w:gridCol w:w="2176"/>
        <w:gridCol w:w="2012"/>
      </w:tblGrid>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560" w:lineRule="exact"/>
              <w:jc w:val="center"/>
              <w:textAlignment w:val="center"/>
              <w:rPr>
                <w:rFonts w:ascii="Times New Roman" w:hAnsi="Times New Roman" w:eastAsia="仿宋_GB2312" w:cs="Times New Roman"/>
                <w:b/>
                <w:color w:val="FFFFFF"/>
                <w:sz w:val="28"/>
                <w:szCs w:val="28"/>
              </w:rPr>
            </w:pPr>
            <w:r>
              <w:rPr>
                <w:rFonts w:ascii="Times New Roman" w:hAnsi="Times New Roman" w:eastAsia="仿宋_GB2312" w:cs="Times New Roman"/>
                <w:b/>
                <w:color w:val="FFFFFF"/>
                <w:kern w:val="0"/>
                <w:sz w:val="28"/>
                <w:szCs w:val="28"/>
                <w:lang w:bidi="ar"/>
              </w:rPr>
              <w:t>序号</w:t>
            </w:r>
          </w:p>
        </w:tc>
        <w:tc>
          <w:tcPr>
            <w:tcW w:w="2192"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560" w:lineRule="exact"/>
              <w:jc w:val="center"/>
              <w:textAlignment w:val="center"/>
              <w:rPr>
                <w:rFonts w:ascii="Times New Roman" w:hAnsi="Times New Roman" w:eastAsia="仿宋_GB2312" w:cs="Times New Roman"/>
                <w:b/>
                <w:color w:val="FFFFFF"/>
                <w:sz w:val="28"/>
                <w:szCs w:val="28"/>
              </w:rPr>
            </w:pPr>
            <w:r>
              <w:rPr>
                <w:rFonts w:ascii="Times New Roman" w:hAnsi="Times New Roman" w:eastAsia="仿宋_GB2312" w:cs="Times New Roman"/>
                <w:b/>
                <w:color w:val="FFFFFF"/>
                <w:kern w:val="0"/>
                <w:sz w:val="28"/>
                <w:szCs w:val="28"/>
                <w:lang w:bidi="ar"/>
              </w:rPr>
              <w:t>项目名称</w:t>
            </w:r>
          </w:p>
        </w:tc>
        <w:tc>
          <w:tcPr>
            <w:tcW w:w="1177"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560" w:lineRule="exact"/>
              <w:jc w:val="center"/>
              <w:textAlignment w:val="center"/>
              <w:rPr>
                <w:rFonts w:ascii="Times New Roman" w:hAnsi="Times New Roman" w:eastAsia="仿宋_GB2312" w:cs="Times New Roman"/>
                <w:b/>
                <w:color w:val="FFFFFF"/>
                <w:sz w:val="28"/>
                <w:szCs w:val="28"/>
              </w:rPr>
            </w:pPr>
            <w:r>
              <w:rPr>
                <w:rFonts w:ascii="Times New Roman" w:hAnsi="Times New Roman" w:eastAsia="仿宋_GB2312" w:cs="Times New Roman"/>
                <w:b/>
                <w:color w:val="FFFFFF"/>
                <w:kern w:val="0"/>
                <w:sz w:val="28"/>
                <w:szCs w:val="28"/>
                <w:lang w:bidi="ar"/>
              </w:rPr>
              <w:t>计划检测批次</w:t>
            </w:r>
          </w:p>
        </w:tc>
        <w:tc>
          <w:tcPr>
            <w:tcW w:w="1089"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560" w:lineRule="exact"/>
              <w:jc w:val="center"/>
              <w:textAlignment w:val="center"/>
              <w:rPr>
                <w:rFonts w:ascii="Times New Roman" w:hAnsi="Times New Roman" w:eastAsia="仿宋_GB2312" w:cs="Times New Roman"/>
                <w:b/>
                <w:color w:val="FFFFFF"/>
                <w:sz w:val="28"/>
                <w:szCs w:val="28"/>
              </w:rPr>
            </w:pPr>
            <w:r>
              <w:rPr>
                <w:rFonts w:ascii="Times New Roman" w:hAnsi="Times New Roman" w:eastAsia="仿宋_GB2312" w:cs="Times New Roman"/>
                <w:b/>
                <w:color w:val="FFFFFF"/>
                <w:kern w:val="0"/>
                <w:sz w:val="28"/>
                <w:szCs w:val="28"/>
                <w:lang w:bidi="ar"/>
              </w:rPr>
              <w:t>实际检测批次</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1</w:t>
            </w:r>
          </w:p>
        </w:tc>
        <w:tc>
          <w:tcPr>
            <w:tcW w:w="219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食品检测项目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2900</w:t>
            </w:r>
          </w:p>
        </w:tc>
        <w:tc>
          <w:tcPr>
            <w:tcW w:w="1089"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2969</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2</w:t>
            </w:r>
          </w:p>
        </w:tc>
        <w:tc>
          <w:tcPr>
            <w:tcW w:w="219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工业品检测项目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671</w:t>
            </w:r>
          </w:p>
        </w:tc>
        <w:tc>
          <w:tcPr>
            <w:tcW w:w="1089"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568</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3</w:t>
            </w:r>
          </w:p>
        </w:tc>
        <w:tc>
          <w:tcPr>
            <w:tcW w:w="219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生鲜奶、畜产品检测项目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646</w:t>
            </w:r>
          </w:p>
        </w:tc>
        <w:tc>
          <w:tcPr>
            <w:tcW w:w="1089"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640</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4</w:t>
            </w:r>
          </w:p>
        </w:tc>
        <w:tc>
          <w:tcPr>
            <w:tcW w:w="219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农产品和农药化肥检测项目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560</w:t>
            </w:r>
          </w:p>
        </w:tc>
        <w:tc>
          <w:tcPr>
            <w:tcW w:w="1089"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328</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5</w:t>
            </w:r>
          </w:p>
        </w:tc>
        <w:tc>
          <w:tcPr>
            <w:tcW w:w="219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农村饮水供水单位水质检测项目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300</w:t>
            </w:r>
          </w:p>
        </w:tc>
        <w:tc>
          <w:tcPr>
            <w:tcW w:w="1089"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192</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6</w:t>
            </w:r>
          </w:p>
        </w:tc>
        <w:tc>
          <w:tcPr>
            <w:tcW w:w="219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中小学直饮水检测项目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90</w:t>
            </w:r>
          </w:p>
        </w:tc>
        <w:tc>
          <w:tcPr>
            <w:tcW w:w="1089"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86</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7</w:t>
            </w:r>
          </w:p>
        </w:tc>
        <w:tc>
          <w:tcPr>
            <w:tcW w:w="219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农产品产地环境监测项目</w:t>
            </w:r>
          </w:p>
        </w:tc>
        <w:tc>
          <w:tcPr>
            <w:tcW w:w="117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112</w:t>
            </w:r>
          </w:p>
        </w:tc>
        <w:tc>
          <w:tcPr>
            <w:tcW w:w="1089"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102</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8</w:t>
            </w:r>
          </w:p>
        </w:tc>
        <w:tc>
          <w:tcPr>
            <w:tcW w:w="219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水产品质量抽检项目</w:t>
            </w:r>
          </w:p>
        </w:tc>
        <w:tc>
          <w:tcPr>
            <w:tcW w:w="117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100</w:t>
            </w:r>
          </w:p>
        </w:tc>
        <w:tc>
          <w:tcPr>
            <w:tcW w:w="1089"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lang w:bidi="ar"/>
              </w:rPr>
            </w:pPr>
            <w:r>
              <w:rPr>
                <w:rFonts w:hint="eastAsia" w:ascii="Times New Roman" w:hAnsi="Times New Roman" w:eastAsia="仿宋_GB2312" w:cs="Times New Roman"/>
                <w:color w:val="000000"/>
                <w:kern w:val="0"/>
                <w:sz w:val="28"/>
                <w:szCs w:val="28"/>
                <w:lang w:bidi="ar"/>
              </w:rPr>
              <w:t>113</w:t>
            </w:r>
          </w:p>
        </w:tc>
      </w:tr>
      <w:tr>
        <w:tblPrEx>
          <w:tblCellMar>
            <w:top w:w="0" w:type="dxa"/>
            <w:left w:w="108" w:type="dxa"/>
            <w:bottom w:w="0" w:type="dxa"/>
            <w:right w:w="108" w:type="dxa"/>
          </w:tblCellMar>
        </w:tblPrEx>
        <w:trPr>
          <w:trHeight w:val="454" w:hRule="exact"/>
        </w:trPr>
        <w:tc>
          <w:tcPr>
            <w:tcW w:w="540"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spacing w:line="560" w:lineRule="exact"/>
              <w:jc w:val="center"/>
              <w:rPr>
                <w:rFonts w:ascii="Times New Roman" w:hAnsi="Times New Roman" w:eastAsia="仿宋_GB2312" w:cs="Times New Roman"/>
                <w:color w:val="000000"/>
                <w:sz w:val="28"/>
                <w:szCs w:val="28"/>
              </w:rPr>
            </w:pPr>
          </w:p>
        </w:tc>
        <w:tc>
          <w:tcPr>
            <w:tcW w:w="219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合计</w:t>
            </w:r>
          </w:p>
        </w:tc>
        <w:tc>
          <w:tcPr>
            <w:tcW w:w="117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sz w:val="28"/>
                <w:szCs w:val="28"/>
              </w:rPr>
            </w:pPr>
            <w:r>
              <w:rPr>
                <w:rFonts w:ascii="Times New Roman" w:hAnsi="Times New Roman" w:eastAsia="仿宋_GB2312" w:cs="Times New Roman"/>
                <w:color w:val="000000"/>
                <w:kern w:val="0"/>
                <w:sz w:val="28"/>
                <w:szCs w:val="28"/>
                <w:lang w:bidi="ar"/>
              </w:rPr>
              <w:t>5379</w:t>
            </w:r>
          </w:p>
        </w:tc>
        <w:tc>
          <w:tcPr>
            <w:tcW w:w="1089"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560" w:lineRule="exact"/>
              <w:jc w:val="center"/>
              <w:textAlignment w:val="center"/>
              <w:rPr>
                <w:rFonts w:ascii="Times New Roman" w:hAnsi="Times New Roman" w:eastAsia="仿宋_GB2312" w:cs="Times New Roman"/>
                <w:color w:val="000000"/>
                <w:kern w:val="0"/>
                <w:sz w:val="28"/>
                <w:szCs w:val="28"/>
                <w:highlight w:val="yellow"/>
                <w:lang w:bidi="ar"/>
              </w:rPr>
            </w:pPr>
            <w:r>
              <w:rPr>
                <w:rFonts w:hint="eastAsia" w:ascii="Times New Roman" w:hAnsi="Times New Roman" w:eastAsia="仿宋_GB2312" w:cs="Times New Roman"/>
                <w:color w:val="000000"/>
                <w:kern w:val="0"/>
                <w:sz w:val="28"/>
                <w:szCs w:val="28"/>
                <w:lang w:bidi="ar"/>
              </w:rPr>
              <w:t>4998</w:t>
            </w:r>
          </w:p>
        </w:tc>
      </w:tr>
    </w:tbl>
    <w:p>
      <w:pPr>
        <w:pStyle w:val="4"/>
        <w:numPr>
          <w:ilvl w:val="0"/>
          <w:numId w:val="0"/>
        </w:numPr>
        <w:spacing w:before="0" w:after="0" w:line="560" w:lineRule="exact"/>
        <w:ind w:left="68" w:leftChars="0" w:firstLine="562" w:firstLineChars="0"/>
        <w:jc w:val="left"/>
        <w:rPr>
          <w:rFonts w:ascii="Times New Roman" w:hAnsi="Times New Roman" w:eastAsia="仿宋_GB2312" w:cs="Times New Roman"/>
        </w:rPr>
      </w:pPr>
      <w:bookmarkStart w:id="21" w:name="_Toc45741720"/>
      <w:bookmarkStart w:id="22" w:name="_Toc28374"/>
      <w:bookmarkStart w:id="23" w:name="_Toc48873004"/>
      <w:r>
        <w:rPr>
          <w:rFonts w:hint="eastAsia" w:ascii="Times New Roman" w:hAnsi="Times New Roman" w:eastAsia="仿宋_GB2312" w:cs="Times New Roman"/>
          <w:b w:val="0"/>
          <w:bCs w:val="0"/>
          <w:color w:val="auto"/>
          <w:kern w:val="2"/>
          <w:sz w:val="28"/>
          <w:szCs w:val="32"/>
          <w:shd w:val="clear" w:color="auto" w:fill="auto"/>
          <w:lang w:val="en-US" w:eastAsia="zh-CN" w:bidi="ar-SA"/>
        </w:rPr>
        <w:t>（二）</w:t>
      </w:r>
      <w:r>
        <w:rPr>
          <w:rFonts w:ascii="Times New Roman" w:hAnsi="Times New Roman" w:eastAsia="仿宋_GB2312" w:cs="Times New Roman"/>
        </w:rPr>
        <w:t>项目资金安排及使用情况</w:t>
      </w:r>
      <w:bookmarkEnd w:id="18"/>
      <w:bookmarkEnd w:id="19"/>
      <w:bookmarkEnd w:id="20"/>
      <w:bookmarkEnd w:id="21"/>
      <w:bookmarkEnd w:id="22"/>
      <w:bookmarkEnd w:id="23"/>
    </w:p>
    <w:p>
      <w:pPr>
        <w:pStyle w:val="15"/>
        <w:spacing w:line="560" w:lineRule="exact"/>
        <w:ind w:firstLine="560"/>
      </w:pPr>
      <w:bookmarkStart w:id="24" w:name="_Toc17411"/>
      <w:r>
        <w:rPr>
          <w:rFonts w:hint="eastAsia"/>
          <w:lang w:val="en-US"/>
        </w:rPr>
        <w:t>2024年文登区检测费项目</w:t>
      </w:r>
      <w:r>
        <w:rPr>
          <w:lang w:val="en-US"/>
        </w:rPr>
        <w:t>年初预算</w:t>
      </w:r>
      <w:r>
        <w:rPr>
          <w:rFonts w:hint="eastAsia"/>
        </w:rPr>
        <w:t>700万元</w:t>
      </w:r>
      <w:r>
        <w:t>，</w:t>
      </w:r>
      <w:bookmarkEnd w:id="24"/>
      <w:bookmarkStart w:id="25" w:name="_Toc11653"/>
      <w:bookmarkStart w:id="26" w:name="_Toc23858"/>
      <w:r>
        <w:t>用于</w:t>
      </w:r>
      <w:r>
        <w:rPr>
          <w:rFonts w:hint="eastAsia"/>
        </w:rPr>
        <w:t>食品检测、工业品检测、生鲜奶、畜产品检测、农产品和农药化肥检测、农村饮水供水单位水质检测、中小学直饮水检测、农产品产地环境监测、质检所业务费、水产品质量抽检、实验室设备检定维修维护</w:t>
      </w:r>
      <w:r>
        <w:t>等支出。</w:t>
      </w:r>
    </w:p>
    <w:p>
      <w:pPr>
        <w:pStyle w:val="15"/>
        <w:spacing w:line="560" w:lineRule="exact"/>
        <w:ind w:firstLine="560"/>
        <w:rPr>
          <w:lang w:val="en-US"/>
        </w:rPr>
      </w:pPr>
      <w:r>
        <w:rPr>
          <w:rFonts w:hint="eastAsia"/>
          <w:highlight w:val="none"/>
        </w:rPr>
        <w:t>2024年文登区检测费项目</w:t>
      </w:r>
      <w:r>
        <w:rPr>
          <w:rFonts w:hint="eastAsia"/>
          <w:highlight w:val="none"/>
          <w:lang w:val="en-US"/>
        </w:rPr>
        <w:t>实际发生费用700.29万元，实际支付</w:t>
      </w:r>
      <w:r>
        <w:rPr>
          <w:highlight w:val="none"/>
        </w:rPr>
        <w:t>金额</w:t>
      </w:r>
      <w:r>
        <w:rPr>
          <w:rFonts w:hint="eastAsia"/>
          <w:highlight w:val="none"/>
          <w:lang w:val="en-US"/>
        </w:rPr>
        <w:t>为186.25万</w:t>
      </w:r>
      <w:r>
        <w:rPr>
          <w:highlight w:val="none"/>
        </w:rPr>
        <w:t>元，</w:t>
      </w:r>
      <w:r>
        <w:rPr>
          <w:rFonts w:hint="eastAsia"/>
          <w:highlight w:val="none"/>
        </w:rPr>
        <w:t>2024</w:t>
      </w:r>
      <w:r>
        <w:rPr>
          <w:highlight w:val="none"/>
        </w:rPr>
        <w:t>预算执行率</w:t>
      </w:r>
      <w:r>
        <w:rPr>
          <w:rFonts w:hint="eastAsia"/>
          <w:highlight w:val="none"/>
          <w:lang w:val="en-US"/>
        </w:rPr>
        <w:t>26.61</w:t>
      </w:r>
      <w:r>
        <w:rPr>
          <w:highlight w:val="none"/>
        </w:rPr>
        <w:t>%，</w:t>
      </w:r>
      <w:r>
        <w:rPr>
          <w:highlight w:val="none"/>
          <w:lang w:val="en-US"/>
        </w:rPr>
        <w:t>详细金额见下表</w:t>
      </w:r>
      <w:r>
        <w:rPr>
          <w:lang w:val="en-US"/>
        </w:rPr>
        <w:t>。</w:t>
      </w:r>
    </w:p>
    <w:p>
      <w:pPr>
        <w:pStyle w:val="15"/>
        <w:spacing w:line="560" w:lineRule="exact"/>
        <w:ind w:firstLine="0" w:firstLineChars="0"/>
        <w:jc w:val="center"/>
        <w:rPr>
          <w:sz w:val="24"/>
          <w:szCs w:val="24"/>
          <w:lang w:val="en-US"/>
        </w:rPr>
      </w:pPr>
      <w:r>
        <w:rPr>
          <w:sz w:val="24"/>
          <w:szCs w:val="24"/>
          <w:lang w:val="en-US"/>
        </w:rPr>
        <w:t>表1</w:t>
      </w:r>
      <w:r>
        <w:rPr>
          <w:rFonts w:hint="eastAsia"/>
          <w:sz w:val="24"/>
          <w:szCs w:val="24"/>
          <w:lang w:val="en-US"/>
        </w:rPr>
        <w:t>-2</w:t>
      </w:r>
      <w:r>
        <w:rPr>
          <w:sz w:val="24"/>
          <w:szCs w:val="24"/>
          <w:lang w:val="en-US"/>
        </w:rPr>
        <w:t>.</w:t>
      </w:r>
      <w:r>
        <w:rPr>
          <w:rFonts w:hint="eastAsia"/>
          <w:sz w:val="24"/>
          <w:szCs w:val="24"/>
          <w:lang w:val="en-US"/>
        </w:rPr>
        <w:t>2024年文登区检测费项目</w:t>
      </w:r>
      <w:r>
        <w:rPr>
          <w:sz w:val="24"/>
          <w:szCs w:val="24"/>
          <w:lang w:val="en-US"/>
        </w:rPr>
        <w:t>资金明细</w:t>
      </w:r>
    </w:p>
    <w:tbl>
      <w:tblPr>
        <w:tblStyle w:val="19"/>
        <w:tblW w:w="5120" w:type="pct"/>
        <w:tblInd w:w="-209" w:type="dxa"/>
        <w:tblLayout w:type="fixed"/>
        <w:tblCellMar>
          <w:top w:w="0" w:type="dxa"/>
          <w:left w:w="108" w:type="dxa"/>
          <w:bottom w:w="0" w:type="dxa"/>
          <w:right w:w="108" w:type="dxa"/>
        </w:tblCellMar>
      </w:tblPr>
      <w:tblGrid>
        <w:gridCol w:w="1170"/>
        <w:gridCol w:w="4114"/>
        <w:gridCol w:w="2096"/>
        <w:gridCol w:w="2084"/>
      </w:tblGrid>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400" w:lineRule="exact"/>
              <w:jc w:val="center"/>
              <w:textAlignment w:val="center"/>
              <w:rPr>
                <w:rFonts w:ascii="Times New Roman" w:hAnsi="Times New Roman" w:eastAsia="仿宋_GB2312" w:cs="Times New Roman"/>
                <w:b/>
                <w:color w:val="FFFFFF"/>
                <w:sz w:val="28"/>
                <w:szCs w:val="28"/>
                <w:highlight w:val="none"/>
              </w:rPr>
            </w:pPr>
            <w:bookmarkStart w:id="27" w:name="_Toc48873005"/>
            <w:bookmarkStart w:id="28" w:name="_Toc45741721"/>
            <w:r>
              <w:rPr>
                <w:rFonts w:ascii="Times New Roman" w:hAnsi="Times New Roman" w:eastAsia="仿宋_GB2312" w:cs="Times New Roman"/>
                <w:b/>
                <w:color w:val="FFFFFF"/>
                <w:kern w:val="0"/>
                <w:sz w:val="28"/>
                <w:szCs w:val="28"/>
                <w:highlight w:val="none"/>
                <w:lang w:bidi="ar"/>
              </w:rPr>
              <w:t>序号</w:t>
            </w:r>
          </w:p>
        </w:tc>
        <w:tc>
          <w:tcPr>
            <w:tcW w:w="2172"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400" w:lineRule="exact"/>
              <w:jc w:val="center"/>
              <w:textAlignment w:val="center"/>
              <w:rPr>
                <w:rFonts w:ascii="Times New Roman" w:hAnsi="Times New Roman" w:eastAsia="仿宋_GB2312" w:cs="Times New Roman"/>
                <w:b/>
                <w:color w:val="FFFFFF"/>
                <w:sz w:val="28"/>
                <w:szCs w:val="28"/>
                <w:highlight w:val="none"/>
              </w:rPr>
            </w:pPr>
            <w:r>
              <w:rPr>
                <w:rFonts w:ascii="Times New Roman" w:hAnsi="Times New Roman" w:eastAsia="仿宋_GB2312" w:cs="Times New Roman"/>
                <w:b/>
                <w:color w:val="FFFFFF"/>
                <w:kern w:val="0"/>
                <w:sz w:val="28"/>
                <w:szCs w:val="28"/>
                <w:highlight w:val="none"/>
                <w:lang w:bidi="ar"/>
              </w:rPr>
              <w:t>项目</w:t>
            </w:r>
          </w:p>
        </w:tc>
        <w:tc>
          <w:tcPr>
            <w:tcW w:w="1107"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400" w:lineRule="exact"/>
              <w:jc w:val="center"/>
              <w:textAlignment w:val="center"/>
              <w:rPr>
                <w:rFonts w:ascii="Times New Roman" w:hAnsi="Times New Roman" w:eastAsia="仿宋_GB2312" w:cs="Times New Roman"/>
                <w:b/>
                <w:color w:val="FFFFFF"/>
                <w:kern w:val="0"/>
                <w:sz w:val="28"/>
                <w:szCs w:val="28"/>
                <w:highlight w:val="none"/>
                <w:lang w:bidi="ar"/>
              </w:rPr>
            </w:pPr>
            <w:r>
              <w:rPr>
                <w:rFonts w:ascii="Times New Roman" w:hAnsi="Times New Roman" w:eastAsia="仿宋_GB2312" w:cs="Times New Roman"/>
                <w:b/>
                <w:color w:val="FFFFFF"/>
                <w:kern w:val="0"/>
                <w:sz w:val="28"/>
                <w:szCs w:val="28"/>
                <w:highlight w:val="none"/>
                <w:lang w:bidi="ar"/>
              </w:rPr>
              <w:t>实际</w:t>
            </w:r>
            <w:r>
              <w:rPr>
                <w:rFonts w:hint="eastAsia" w:ascii="Times New Roman" w:hAnsi="Times New Roman" w:eastAsia="仿宋_GB2312" w:cs="Times New Roman"/>
                <w:b/>
                <w:color w:val="FFFFFF"/>
                <w:kern w:val="0"/>
                <w:sz w:val="28"/>
                <w:szCs w:val="28"/>
                <w:highlight w:val="none"/>
                <w:lang w:bidi="ar"/>
              </w:rPr>
              <w:t>发生</w:t>
            </w:r>
          </w:p>
          <w:p>
            <w:pPr>
              <w:widowControl/>
              <w:spacing w:line="400" w:lineRule="exact"/>
              <w:jc w:val="center"/>
              <w:textAlignment w:val="center"/>
              <w:rPr>
                <w:rFonts w:ascii="Times New Roman" w:hAnsi="Times New Roman" w:eastAsia="仿宋_GB2312" w:cs="Times New Roman"/>
                <w:b/>
                <w:color w:val="FFFFFF"/>
                <w:sz w:val="28"/>
                <w:szCs w:val="28"/>
                <w:highlight w:val="none"/>
              </w:rPr>
            </w:pPr>
            <w:r>
              <w:rPr>
                <w:rFonts w:ascii="Times New Roman" w:hAnsi="Times New Roman" w:eastAsia="仿宋_GB2312" w:cs="Times New Roman"/>
                <w:b/>
                <w:color w:val="FFFFFF"/>
                <w:kern w:val="0"/>
                <w:sz w:val="28"/>
                <w:szCs w:val="28"/>
                <w:highlight w:val="none"/>
                <w:lang w:bidi="ar"/>
              </w:rPr>
              <w:t>费用（元）</w:t>
            </w:r>
          </w:p>
        </w:tc>
        <w:tc>
          <w:tcPr>
            <w:tcW w:w="1101" w:type="pct"/>
            <w:tcBorders>
              <w:top w:val="single" w:color="FFFFFF" w:sz="8" w:space="0"/>
              <w:left w:val="single" w:color="FFFFFF" w:sz="8" w:space="0"/>
              <w:bottom w:val="single" w:color="FFFFFF" w:sz="8" w:space="0"/>
              <w:right w:val="single" w:color="FFFFFF" w:sz="8" w:space="0"/>
            </w:tcBorders>
            <w:shd w:val="clear" w:color="auto" w:fill="5B9BD5" w:themeFill="accent1"/>
            <w:noWrap/>
            <w:vAlign w:val="center"/>
          </w:tcPr>
          <w:p>
            <w:pPr>
              <w:widowControl/>
              <w:spacing w:line="400" w:lineRule="exact"/>
              <w:jc w:val="center"/>
              <w:textAlignment w:val="center"/>
              <w:rPr>
                <w:rFonts w:ascii="Times New Roman" w:hAnsi="Times New Roman" w:eastAsia="仿宋_GB2312" w:cs="Times New Roman"/>
                <w:b/>
                <w:color w:val="FFFFFF"/>
                <w:kern w:val="0"/>
                <w:sz w:val="28"/>
                <w:szCs w:val="28"/>
                <w:highlight w:val="none"/>
                <w:lang w:bidi="ar"/>
              </w:rPr>
            </w:pPr>
            <w:r>
              <w:rPr>
                <w:rFonts w:ascii="Times New Roman" w:hAnsi="Times New Roman" w:eastAsia="仿宋_GB2312" w:cs="Times New Roman"/>
                <w:b/>
                <w:color w:val="FFFFFF"/>
                <w:kern w:val="0"/>
                <w:sz w:val="28"/>
                <w:szCs w:val="28"/>
                <w:highlight w:val="none"/>
                <w:lang w:bidi="ar"/>
              </w:rPr>
              <w:t>实际支付</w:t>
            </w:r>
          </w:p>
          <w:p>
            <w:pPr>
              <w:widowControl/>
              <w:spacing w:line="400" w:lineRule="exact"/>
              <w:jc w:val="center"/>
              <w:textAlignment w:val="center"/>
              <w:rPr>
                <w:rFonts w:ascii="Times New Roman" w:hAnsi="Times New Roman" w:eastAsia="仿宋_GB2312" w:cs="Times New Roman"/>
                <w:b/>
                <w:color w:val="FFFFFF"/>
                <w:sz w:val="28"/>
                <w:szCs w:val="28"/>
                <w:highlight w:val="none"/>
              </w:rPr>
            </w:pPr>
            <w:r>
              <w:rPr>
                <w:rFonts w:ascii="Times New Roman" w:hAnsi="Times New Roman" w:eastAsia="仿宋_GB2312" w:cs="Times New Roman"/>
                <w:b/>
                <w:color w:val="FFFFFF"/>
                <w:kern w:val="0"/>
                <w:sz w:val="28"/>
                <w:szCs w:val="28"/>
                <w:highlight w:val="none"/>
                <w:lang w:bidi="ar"/>
              </w:rPr>
              <w:t>金额（元）</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食品</w:t>
            </w:r>
            <w:r>
              <w:rPr>
                <w:rFonts w:hint="eastAsia" w:ascii="Times New Roman" w:hAnsi="Times New Roman" w:eastAsia="仿宋_GB2312" w:cs="Times New Roman"/>
                <w:color w:val="000000"/>
                <w:kern w:val="0"/>
                <w:sz w:val="28"/>
                <w:szCs w:val="28"/>
                <w:highlight w:val="none"/>
                <w:lang w:bidi="ar"/>
              </w:rPr>
              <w:t>及兽药等</w:t>
            </w:r>
            <w:r>
              <w:rPr>
                <w:rFonts w:ascii="Times New Roman" w:hAnsi="Times New Roman" w:eastAsia="仿宋_GB2312" w:cs="Times New Roman"/>
                <w:color w:val="000000"/>
                <w:kern w:val="0"/>
                <w:sz w:val="28"/>
                <w:szCs w:val="28"/>
                <w:highlight w:val="none"/>
                <w:lang w:bidi="ar"/>
              </w:rPr>
              <w:t>外检费用</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834075.26</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食品分包费用</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321108.8</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3</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工业品外检费用</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792787.07</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4</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hint="eastAsia" w:ascii="Times New Roman" w:hAnsi="Times New Roman" w:eastAsia="仿宋_GB2312" w:cs="Times New Roman"/>
                <w:color w:val="000000"/>
                <w:kern w:val="0"/>
                <w:sz w:val="28"/>
                <w:szCs w:val="28"/>
                <w:highlight w:val="none"/>
                <w:lang w:bidi="ar"/>
              </w:rPr>
              <w:t>承检机构</w:t>
            </w:r>
            <w:r>
              <w:rPr>
                <w:rFonts w:ascii="Times New Roman" w:hAnsi="Times New Roman" w:eastAsia="仿宋_GB2312" w:cs="Times New Roman"/>
                <w:color w:val="000000"/>
                <w:kern w:val="0"/>
                <w:sz w:val="28"/>
                <w:szCs w:val="28"/>
                <w:highlight w:val="none"/>
                <w:lang w:bidi="ar"/>
              </w:rPr>
              <w:t>抽样买样费用</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329413.31</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5</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人工成本</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2617834</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1785372.98</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6</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印刷及复印费用</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152282</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7</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实验室耗材费用</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796435.96</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8</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工会经费</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116613.56</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10000</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9</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计量费</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31981.2</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8302.2</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10</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实验室搬迁及废液处理费用</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59750</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11</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食堂餐费</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127814</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12</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设备维修费</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204624.42</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29066.02</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13</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hint="eastAsia" w:ascii="Times New Roman" w:hAnsi="Times New Roman" w:eastAsia="仿宋_GB2312" w:cs="Times New Roman"/>
                <w:color w:val="000000"/>
                <w:kern w:val="0"/>
                <w:sz w:val="28"/>
                <w:szCs w:val="28"/>
                <w:highlight w:val="none"/>
                <w:lang w:bidi="ar"/>
              </w:rPr>
              <w:t>监管部门</w:t>
            </w:r>
            <w:r>
              <w:rPr>
                <w:rFonts w:ascii="Times New Roman" w:hAnsi="Times New Roman" w:eastAsia="仿宋_GB2312" w:cs="Times New Roman"/>
                <w:color w:val="000000"/>
                <w:kern w:val="0"/>
                <w:sz w:val="28"/>
                <w:szCs w:val="28"/>
                <w:highlight w:val="none"/>
                <w:lang w:bidi="ar"/>
              </w:rPr>
              <w:t>样品费</w:t>
            </w:r>
          </w:p>
        </w:tc>
        <w:tc>
          <w:tcPr>
            <w:tcW w:w="1107"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26664.27</w:t>
            </w:r>
          </w:p>
        </w:tc>
        <w:tc>
          <w:tcPr>
            <w:tcW w:w="1101"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13449.14</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14</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残保金</w:t>
            </w: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16352.87</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16352.87</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15</w:t>
            </w:r>
          </w:p>
        </w:tc>
        <w:tc>
          <w:tcPr>
            <w:tcW w:w="3794" w:type="dxa"/>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帮扶款</w:t>
            </w:r>
          </w:p>
        </w:tc>
        <w:tc>
          <w:tcPr>
            <w:tcW w:w="1935" w:type="dxa"/>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150000</w:t>
            </w:r>
          </w:p>
        </w:tc>
        <w:tc>
          <w:tcPr>
            <w:tcW w:w="1924" w:type="dxa"/>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16</w:t>
            </w:r>
          </w:p>
        </w:tc>
        <w:tc>
          <w:tcPr>
            <w:tcW w:w="3794" w:type="dxa"/>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办公差旅费等</w:t>
            </w:r>
          </w:p>
        </w:tc>
        <w:tc>
          <w:tcPr>
            <w:tcW w:w="1935" w:type="dxa"/>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136831.7</w:t>
            </w:r>
          </w:p>
        </w:tc>
        <w:tc>
          <w:tcPr>
            <w:tcW w:w="1924" w:type="dxa"/>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w:t>
            </w:r>
            <w:r>
              <w:rPr>
                <w:rFonts w:hint="eastAsia" w:ascii="Times New Roman" w:hAnsi="Times New Roman" w:eastAsia="仿宋_GB2312" w:cs="Times New Roman"/>
                <w:color w:val="000000"/>
                <w:kern w:val="0"/>
                <w:sz w:val="28"/>
                <w:szCs w:val="28"/>
                <w:highlight w:val="none"/>
                <w:lang w:bidi="ar"/>
              </w:rPr>
              <w:t>7</w:t>
            </w:r>
          </w:p>
        </w:tc>
        <w:tc>
          <w:tcPr>
            <w:tcW w:w="217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2022年腾翔抽检费用</w:t>
            </w:r>
          </w:p>
        </w:tc>
        <w:tc>
          <w:tcPr>
            <w:tcW w:w="1935" w:type="dxa"/>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288369</w:t>
            </w:r>
          </w:p>
        </w:tc>
        <w:tc>
          <w:tcPr>
            <w:tcW w:w="1924" w:type="dxa"/>
            <w:tcBorders>
              <w:top w:val="single" w:color="FFFFFF" w:sz="8" w:space="0"/>
              <w:left w:val="single" w:color="FFFFFF" w:sz="8" w:space="0"/>
              <w:bottom w:val="single" w:color="FFFFFF" w:sz="8" w:space="0"/>
              <w:right w:val="single" w:color="FFFFFF" w:sz="8" w:space="0"/>
            </w:tcBorders>
            <w:shd w:val="clear" w:color="auto" w:fill="BDD6EE" w:themeFill="accent1" w:themeFillTint="66"/>
            <w:noWrap/>
            <w:vAlign w:val="center"/>
          </w:tcPr>
          <w:p>
            <w:pPr>
              <w:widowControl/>
              <w:spacing w:line="400" w:lineRule="exact"/>
              <w:jc w:val="center"/>
              <w:textAlignment w:val="center"/>
              <w:rPr>
                <w:rFonts w:ascii="Times New Roman" w:hAnsi="Times New Roman" w:eastAsia="仿宋_GB2312" w:cs="Times New Roman"/>
                <w:color w:val="000000"/>
                <w:kern w:val="0"/>
                <w:sz w:val="28"/>
                <w:szCs w:val="28"/>
                <w:highlight w:val="none"/>
                <w:lang w:bidi="ar"/>
              </w:rPr>
            </w:pPr>
            <w:r>
              <w:rPr>
                <w:rFonts w:hint="eastAsia" w:ascii="Times New Roman" w:hAnsi="Times New Roman" w:eastAsia="仿宋_GB2312" w:cs="Times New Roman"/>
                <w:color w:val="000000"/>
                <w:kern w:val="0"/>
                <w:sz w:val="28"/>
                <w:szCs w:val="28"/>
                <w:highlight w:val="none"/>
                <w:lang w:bidi="ar"/>
              </w:rPr>
              <w:t>-</w:t>
            </w:r>
          </w:p>
        </w:tc>
      </w:tr>
      <w:tr>
        <w:tblPrEx>
          <w:tblCellMar>
            <w:top w:w="0" w:type="dxa"/>
            <w:left w:w="108" w:type="dxa"/>
            <w:bottom w:w="0" w:type="dxa"/>
            <w:right w:w="108" w:type="dxa"/>
          </w:tblCellMar>
        </w:tblPrEx>
        <w:trPr>
          <w:trHeight w:val="272" w:hRule="atLeast"/>
        </w:trPr>
        <w:tc>
          <w:tcPr>
            <w:tcW w:w="61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合计</w:t>
            </w:r>
          </w:p>
        </w:tc>
        <w:tc>
          <w:tcPr>
            <w:tcW w:w="217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rPr>
                <w:rFonts w:ascii="Times New Roman" w:hAnsi="Times New Roman" w:eastAsia="仿宋_GB2312" w:cs="Times New Roman"/>
                <w:color w:val="000000"/>
                <w:sz w:val="28"/>
                <w:szCs w:val="28"/>
                <w:highlight w:val="none"/>
              </w:rPr>
            </w:pPr>
          </w:p>
        </w:tc>
        <w:tc>
          <w:tcPr>
            <w:tcW w:w="1107"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hint="eastAsia" w:ascii="Times New Roman" w:hAnsi="Times New Roman" w:eastAsia="仿宋_GB2312" w:cs="Times New Roman"/>
                <w:color w:val="000000"/>
                <w:kern w:val="0"/>
                <w:sz w:val="28"/>
                <w:szCs w:val="28"/>
                <w:highlight w:val="none"/>
                <w:lang w:bidi="ar"/>
              </w:rPr>
              <w:t>7002937.42</w:t>
            </w:r>
          </w:p>
        </w:tc>
        <w:tc>
          <w:tcPr>
            <w:tcW w:w="1101"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noWrap/>
            <w:vAlign w:val="center"/>
          </w:tcPr>
          <w:p>
            <w:pPr>
              <w:widowControl/>
              <w:spacing w:line="400" w:lineRule="exact"/>
              <w:jc w:val="center"/>
              <w:textAlignment w:val="center"/>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kern w:val="0"/>
                <w:sz w:val="28"/>
                <w:szCs w:val="28"/>
                <w:highlight w:val="none"/>
                <w:lang w:bidi="ar"/>
              </w:rPr>
              <w:t>1862543.21</w:t>
            </w:r>
          </w:p>
        </w:tc>
      </w:tr>
    </w:tbl>
    <w:p>
      <w:pPr>
        <w:pStyle w:val="4"/>
        <w:numPr>
          <w:ilvl w:val="0"/>
          <w:numId w:val="0"/>
        </w:numPr>
        <w:spacing w:before="0" w:after="0" w:line="560" w:lineRule="exact"/>
        <w:ind w:left="68" w:leftChars="0" w:firstLine="562" w:firstLineChars="0"/>
        <w:jc w:val="left"/>
        <w:rPr>
          <w:rFonts w:ascii="Times New Roman" w:hAnsi="Times New Roman" w:eastAsia="仿宋_GB2312" w:cs="Times New Roman"/>
        </w:rPr>
      </w:pPr>
      <w:bookmarkStart w:id="29" w:name="_Toc8452"/>
      <w:r>
        <w:rPr>
          <w:rFonts w:hint="eastAsia" w:ascii="Times New Roman" w:hAnsi="Times New Roman" w:eastAsia="仿宋_GB2312" w:cs="Times New Roman"/>
          <w:b w:val="0"/>
          <w:bCs w:val="0"/>
          <w:color w:val="auto"/>
          <w:kern w:val="2"/>
          <w:sz w:val="28"/>
          <w:szCs w:val="32"/>
          <w:shd w:val="clear" w:color="auto" w:fill="auto"/>
          <w:lang w:val="en-US" w:eastAsia="zh-CN" w:bidi="ar-SA"/>
        </w:rPr>
        <w:t>（三）</w:t>
      </w:r>
      <w:r>
        <w:rPr>
          <w:rFonts w:ascii="Times New Roman" w:hAnsi="Times New Roman" w:eastAsia="仿宋_GB2312" w:cs="Times New Roman"/>
        </w:rPr>
        <w:t>项目组织管理情况</w:t>
      </w:r>
      <w:bookmarkEnd w:id="25"/>
      <w:bookmarkEnd w:id="26"/>
      <w:bookmarkEnd w:id="27"/>
      <w:bookmarkEnd w:id="28"/>
      <w:bookmarkEnd w:id="29"/>
      <w:bookmarkStart w:id="30" w:name="_Toc32211"/>
    </w:p>
    <w:p>
      <w:pPr>
        <w:pStyle w:val="15"/>
        <w:spacing w:line="560" w:lineRule="exact"/>
        <w:ind w:firstLine="562"/>
        <w:rPr>
          <w:b/>
        </w:rPr>
      </w:pPr>
      <w:r>
        <w:rPr>
          <w:b/>
        </w:rPr>
        <w:t>责任单位：文登区检验检测中心</w:t>
      </w:r>
    </w:p>
    <w:p>
      <w:pPr>
        <w:pStyle w:val="15"/>
        <w:spacing w:line="560" w:lineRule="exact"/>
        <w:ind w:firstLine="562"/>
        <w:rPr>
          <w:b/>
          <w:bCs/>
        </w:rPr>
      </w:pPr>
      <w:r>
        <w:rPr>
          <w:b/>
          <w:bCs/>
        </w:rPr>
        <w:t>文登区财政局的主要职责：</w:t>
      </w:r>
    </w:p>
    <w:p>
      <w:pPr>
        <w:spacing w:line="560" w:lineRule="exact"/>
        <w:ind w:firstLine="56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负责预算资金的审核、批复及拨付</w:t>
      </w:r>
      <w:r>
        <w:rPr>
          <w:rFonts w:ascii="Times New Roman" w:hAnsi="Times New Roman" w:eastAsia="仿宋_GB2312" w:cs="Times New Roman"/>
          <w:kern w:val="0"/>
          <w:sz w:val="28"/>
          <w:szCs w:val="28"/>
        </w:rPr>
        <w:t>，对项目资金使用情况进行监督检查</w:t>
      </w:r>
      <w:r>
        <w:rPr>
          <w:rFonts w:ascii="Times New Roman" w:hAnsi="Times New Roman" w:eastAsia="仿宋_GB2312" w:cs="Times New Roman"/>
          <w:kern w:val="0"/>
          <w:sz w:val="28"/>
          <w:szCs w:val="28"/>
          <w:lang w:val="zh-CN"/>
        </w:rPr>
        <w:t>。</w:t>
      </w:r>
    </w:p>
    <w:p>
      <w:pPr>
        <w:pStyle w:val="15"/>
        <w:spacing w:line="560" w:lineRule="exact"/>
        <w:ind w:firstLine="562"/>
        <w:rPr>
          <w:b/>
          <w:bCs/>
          <w:lang w:val="en-US"/>
        </w:rPr>
      </w:pPr>
      <w:r>
        <w:rPr>
          <w:b/>
        </w:rPr>
        <w:t>文登区检验检测中心</w:t>
      </w:r>
      <w:r>
        <w:rPr>
          <w:b/>
          <w:bCs/>
          <w:lang w:val="en-US"/>
        </w:rPr>
        <w:t>的主要职责：</w:t>
      </w:r>
    </w:p>
    <w:p>
      <w:pPr>
        <w:pStyle w:val="15"/>
        <w:spacing w:line="560" w:lineRule="exact"/>
        <w:ind w:firstLine="560"/>
        <w:rPr>
          <w:lang w:val="en-US"/>
        </w:rPr>
      </w:pPr>
      <w:r>
        <w:rPr>
          <w:lang w:val="en-US"/>
        </w:rPr>
        <w:t>文登区检验检测中心受相关执法监管部门和社会委托，提供检验检测服务，承担全区食品、药品等的检验检测工作；受委托开展未经产品认证的食品、工业品及食品相关产品的抽样及外送检验检测工作。文登区检验检测中心根据市场监督管理局</w:t>
      </w:r>
      <w:r>
        <w:rPr>
          <w:rFonts w:hint="eastAsia"/>
          <w:lang w:val="en-US"/>
        </w:rPr>
        <w:t>等部门</w:t>
      </w:r>
      <w:r>
        <w:rPr>
          <w:lang w:val="en-US"/>
        </w:rPr>
        <w:t>的抽检计划，进行样品抽取、食品检测等相关工作，在国抽系统中录入检验数据，并出具检验报告。</w:t>
      </w:r>
    </w:p>
    <w:p>
      <w:pPr>
        <w:pStyle w:val="15"/>
        <w:spacing w:line="560" w:lineRule="exact"/>
        <w:ind w:firstLine="562"/>
        <w:rPr>
          <w:b/>
          <w:bCs/>
          <w:lang w:val="en-US"/>
        </w:rPr>
      </w:pPr>
      <w:r>
        <w:rPr>
          <w:rFonts w:hint="eastAsia"/>
          <w:b/>
          <w:bCs/>
          <w:lang w:val="en-US"/>
        </w:rPr>
        <w:t>承检机构：</w:t>
      </w:r>
    </w:p>
    <w:p>
      <w:pPr>
        <w:pStyle w:val="15"/>
        <w:spacing w:line="560" w:lineRule="exact"/>
        <w:ind w:firstLine="560"/>
        <w:rPr>
          <w:lang w:val="en-US"/>
        </w:rPr>
      </w:pPr>
      <w:r>
        <w:rPr>
          <w:rFonts w:hint="eastAsia"/>
        </w:rPr>
        <w:t>鲁健检测科技有限公司、中维安全检测认证集团有限公司、山东益源检验检测有限公司、山东时进检测服务有限公司、山东匠造检测有限公司</w:t>
      </w:r>
      <w:r>
        <w:rPr>
          <w:rFonts w:hint="eastAsia"/>
          <w:lang w:val="en-US"/>
        </w:rPr>
        <w:t>5</w:t>
      </w:r>
      <w:r>
        <w:t>家</w:t>
      </w:r>
      <w:r>
        <w:rPr>
          <w:rFonts w:hint="eastAsia"/>
          <w:lang w:val="en-US"/>
        </w:rPr>
        <w:t>承检机构负责文登区食品检测项目；</w:t>
      </w:r>
      <w:r>
        <w:rPr>
          <w:rFonts w:hint="eastAsia"/>
        </w:rPr>
        <w:t>山东腾翔产品质量检测有限公司、斯坦德检测集团股份有限公司</w:t>
      </w:r>
      <w:r>
        <w:rPr>
          <w:rFonts w:hint="eastAsia"/>
          <w:lang w:val="en-US"/>
        </w:rPr>
        <w:t>2</w:t>
      </w:r>
      <w:r>
        <w:t>家</w:t>
      </w:r>
      <w:r>
        <w:rPr>
          <w:rFonts w:hint="eastAsia"/>
        </w:rPr>
        <w:t>承检机构</w:t>
      </w:r>
      <w:r>
        <w:rPr>
          <w:rFonts w:hint="eastAsia"/>
          <w:lang w:val="en-US"/>
        </w:rPr>
        <w:t>负责文登区工业品检测项目；诸城绿安检测有限公司、山东威瑞信试验检测有限公司、青岛市华测检测技术有限公司、青岛海关4家机构负责农药、兽药等相关检测项目。</w:t>
      </w:r>
    </w:p>
    <w:p>
      <w:pPr>
        <w:pStyle w:val="4"/>
        <w:numPr>
          <w:ilvl w:val="0"/>
          <w:numId w:val="0"/>
        </w:numPr>
        <w:spacing w:before="0" w:after="0" w:line="560" w:lineRule="exact"/>
        <w:ind w:left="68" w:leftChars="0" w:firstLine="562" w:firstLineChars="0"/>
        <w:jc w:val="left"/>
        <w:rPr>
          <w:rFonts w:ascii="Times New Roman" w:hAnsi="Times New Roman" w:eastAsia="仿宋_GB2312" w:cs="Times New Roman"/>
        </w:rPr>
      </w:pPr>
      <w:bookmarkStart w:id="31" w:name="_Toc31564"/>
      <w:r>
        <w:rPr>
          <w:rFonts w:hint="eastAsia" w:ascii="Times New Roman" w:hAnsi="Times New Roman" w:eastAsia="仿宋_GB2312" w:cs="Times New Roman"/>
          <w:b w:val="0"/>
          <w:bCs w:val="0"/>
          <w:color w:val="auto"/>
          <w:kern w:val="2"/>
          <w:sz w:val="28"/>
          <w:szCs w:val="32"/>
          <w:shd w:val="clear" w:color="auto" w:fill="auto"/>
          <w:lang w:val="en-US" w:eastAsia="zh-CN" w:bidi="ar-SA"/>
        </w:rPr>
        <w:t>（四）</w:t>
      </w:r>
      <w:r>
        <w:rPr>
          <w:rFonts w:ascii="Times New Roman" w:hAnsi="Times New Roman" w:eastAsia="仿宋_GB2312" w:cs="Times New Roman"/>
        </w:rPr>
        <w:t>项目绩效目标</w:t>
      </w:r>
      <w:bookmarkEnd w:id="31"/>
    </w:p>
    <w:p>
      <w:pPr>
        <w:spacing w:line="560" w:lineRule="exact"/>
        <w:ind w:firstLine="843" w:firstLineChars="300"/>
        <w:rPr>
          <w:rFonts w:ascii="Times New Roman" w:hAnsi="Times New Roman" w:eastAsia="仿宋_GB2312" w:cs="Times New Roman"/>
          <w:b/>
          <w:kern w:val="0"/>
          <w:sz w:val="28"/>
          <w:szCs w:val="28"/>
        </w:rPr>
      </w:pPr>
      <w:r>
        <w:rPr>
          <w:rFonts w:ascii="Times New Roman" w:hAnsi="Times New Roman" w:eastAsia="仿宋_GB2312" w:cs="Times New Roman"/>
          <w:b/>
          <w:kern w:val="0"/>
          <w:sz w:val="28"/>
          <w:szCs w:val="28"/>
        </w:rPr>
        <w:t>1.绩效目标</w:t>
      </w:r>
    </w:p>
    <w:p>
      <w:pPr>
        <w:pStyle w:val="15"/>
        <w:spacing w:line="560" w:lineRule="exact"/>
        <w:ind w:firstLine="560"/>
        <w:rPr>
          <w:color w:val="FF0000"/>
        </w:rPr>
      </w:pPr>
      <w:r>
        <w:rPr>
          <w:rFonts w:hint="eastAsia"/>
        </w:rPr>
        <w:t>对各部门送检的样品进行及时准确的检测，检测样品平均成本不高于1301元，全年完成检验样品5379批次。检测结果准确率达到100%，检测报告出具及时率达到100%，检测样品质量，保障公众饮食、生活安全，实验室管理制度规范，检测人满意度不低于95%</w:t>
      </w:r>
      <w:r>
        <w:t>。</w:t>
      </w:r>
    </w:p>
    <w:p>
      <w:pPr>
        <w:pStyle w:val="15"/>
        <w:numPr>
          <w:ilvl w:val="0"/>
          <w:numId w:val="2"/>
        </w:numPr>
        <w:spacing w:line="560" w:lineRule="exact"/>
        <w:ind w:firstLine="562"/>
        <w:rPr>
          <w:b/>
        </w:rPr>
      </w:pPr>
      <w:r>
        <w:rPr>
          <w:b/>
          <w:lang w:val="en-US"/>
        </w:rPr>
        <w:t>文登区检验检测中心——</w:t>
      </w:r>
      <w:r>
        <w:rPr>
          <w:rFonts w:hint="eastAsia"/>
          <w:b/>
          <w:lang w:val="en-US"/>
        </w:rPr>
        <w:t>2024年检测费项目</w:t>
      </w:r>
      <w:r>
        <w:rPr>
          <w:b/>
        </w:rPr>
        <w:t>绩效指标</w:t>
      </w:r>
    </w:p>
    <w:tbl>
      <w:tblPr>
        <w:tblStyle w:val="19"/>
        <w:tblW w:w="512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39"/>
        <w:gridCol w:w="3026"/>
        <w:gridCol w:w="3133"/>
        <w:gridCol w:w="17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2" w:type="pct"/>
            <w:vMerge w:val="restart"/>
            <w:tcBorders>
              <w:top w:val="single" w:color="FFFFFF" w:sz="8" w:space="0"/>
              <w:left w:val="single" w:color="FFFFFF" w:sz="8" w:space="0"/>
              <w:bottom w:val="single" w:color="FFFFFF" w:sz="8" w:space="0"/>
              <w:right w:val="single" w:color="FFFFFF" w:sz="8" w:space="0"/>
            </w:tcBorders>
            <w:shd w:val="clear" w:color="auto" w:fill="5B9BD5" w:themeFill="accent1"/>
            <w:vAlign w:val="center"/>
          </w:tcPr>
          <w:p>
            <w:pPr>
              <w:widowControl/>
              <w:spacing w:line="400" w:lineRule="exact"/>
              <w:jc w:val="center"/>
              <w:textAlignment w:val="center"/>
              <w:rPr>
                <w:rFonts w:ascii="Times New Roman" w:hAnsi="Times New Roman" w:eastAsia="仿宋_GB2312" w:cs="Times New Roman"/>
                <w:b/>
                <w:color w:val="FFFFFF"/>
                <w:kern w:val="0"/>
                <w:sz w:val="28"/>
                <w:szCs w:val="28"/>
                <w:lang w:val="zh-CN"/>
              </w:rPr>
            </w:pPr>
            <w:r>
              <w:rPr>
                <w:rFonts w:ascii="Times New Roman" w:hAnsi="Times New Roman" w:eastAsia="仿宋_GB2312" w:cs="Times New Roman"/>
                <w:b/>
                <w:color w:val="FFFFFF"/>
                <w:kern w:val="0"/>
                <w:sz w:val="28"/>
                <w:szCs w:val="28"/>
              </w:rPr>
              <w:t>一级指标</w:t>
            </w:r>
          </w:p>
        </w:tc>
        <w:tc>
          <w:tcPr>
            <w:tcW w:w="1596" w:type="pct"/>
            <w:vMerge w:val="restart"/>
            <w:tcBorders>
              <w:top w:val="single" w:color="FFFFFF" w:sz="8" w:space="0"/>
              <w:left w:val="single" w:color="FFFFFF" w:sz="8" w:space="0"/>
              <w:bottom w:val="single" w:color="FFFFFF" w:sz="8" w:space="0"/>
              <w:right w:val="single" w:color="FFFFFF" w:sz="8" w:space="0"/>
            </w:tcBorders>
            <w:shd w:val="clear" w:color="auto" w:fill="5B9BD5" w:themeFill="accent1"/>
            <w:vAlign w:val="center"/>
          </w:tcPr>
          <w:p>
            <w:pPr>
              <w:widowControl/>
              <w:spacing w:line="400" w:lineRule="exact"/>
              <w:jc w:val="center"/>
              <w:textAlignment w:val="center"/>
              <w:rPr>
                <w:rFonts w:ascii="Times New Roman" w:hAnsi="Times New Roman" w:eastAsia="仿宋_GB2312" w:cs="Times New Roman"/>
                <w:b/>
                <w:color w:val="FFFFFF"/>
                <w:kern w:val="0"/>
                <w:sz w:val="28"/>
                <w:szCs w:val="28"/>
                <w:lang w:val="zh-CN"/>
              </w:rPr>
            </w:pPr>
            <w:r>
              <w:rPr>
                <w:rFonts w:ascii="Times New Roman" w:hAnsi="Times New Roman" w:eastAsia="仿宋_GB2312" w:cs="Times New Roman"/>
                <w:b/>
                <w:color w:val="FFFFFF"/>
                <w:kern w:val="0"/>
                <w:sz w:val="28"/>
                <w:szCs w:val="28"/>
              </w:rPr>
              <w:t>二级指标</w:t>
            </w:r>
          </w:p>
        </w:tc>
        <w:tc>
          <w:tcPr>
            <w:tcW w:w="1652" w:type="pct"/>
            <w:vMerge w:val="restart"/>
            <w:tcBorders>
              <w:top w:val="single" w:color="FFFFFF" w:sz="8" w:space="0"/>
              <w:left w:val="single" w:color="FFFFFF" w:sz="8" w:space="0"/>
              <w:bottom w:val="single" w:color="FFFFFF" w:sz="8" w:space="0"/>
              <w:right w:val="single" w:color="FFFFFF" w:sz="8" w:space="0"/>
            </w:tcBorders>
            <w:shd w:val="clear" w:color="auto" w:fill="5B9BD5" w:themeFill="accent1"/>
            <w:vAlign w:val="center"/>
          </w:tcPr>
          <w:p>
            <w:pPr>
              <w:widowControl/>
              <w:spacing w:line="400" w:lineRule="exact"/>
              <w:jc w:val="center"/>
              <w:textAlignment w:val="center"/>
              <w:rPr>
                <w:rFonts w:ascii="Times New Roman" w:hAnsi="Times New Roman" w:eastAsia="仿宋_GB2312" w:cs="Times New Roman"/>
                <w:b/>
                <w:color w:val="FFFFFF"/>
                <w:kern w:val="0"/>
                <w:sz w:val="28"/>
                <w:szCs w:val="28"/>
                <w:lang w:val="zh-CN"/>
              </w:rPr>
            </w:pPr>
            <w:r>
              <w:rPr>
                <w:rFonts w:ascii="Times New Roman" w:hAnsi="Times New Roman" w:eastAsia="仿宋_GB2312" w:cs="Times New Roman"/>
                <w:b/>
                <w:color w:val="FFFFFF"/>
                <w:kern w:val="0"/>
                <w:sz w:val="28"/>
                <w:szCs w:val="28"/>
              </w:rPr>
              <w:t>三级指标</w:t>
            </w:r>
          </w:p>
        </w:tc>
        <w:tc>
          <w:tcPr>
            <w:tcW w:w="938" w:type="pct"/>
            <w:vMerge w:val="restart"/>
            <w:tcBorders>
              <w:top w:val="single" w:color="FFFFFF" w:sz="8" w:space="0"/>
              <w:left w:val="single" w:color="FFFFFF" w:sz="8" w:space="0"/>
              <w:bottom w:val="single" w:color="FFFFFF" w:sz="8" w:space="0"/>
              <w:right w:val="single" w:color="FFFFFF" w:sz="8" w:space="0"/>
            </w:tcBorders>
            <w:shd w:val="clear" w:color="auto" w:fill="5B9BD5" w:themeFill="accent1"/>
            <w:vAlign w:val="center"/>
          </w:tcPr>
          <w:p>
            <w:pPr>
              <w:widowControl/>
              <w:spacing w:line="400" w:lineRule="exact"/>
              <w:jc w:val="center"/>
              <w:textAlignment w:val="center"/>
              <w:rPr>
                <w:rFonts w:ascii="Times New Roman" w:hAnsi="Times New Roman" w:eastAsia="仿宋_GB2312" w:cs="Times New Roman"/>
                <w:b/>
                <w:color w:val="FFFFFF"/>
                <w:kern w:val="0"/>
                <w:sz w:val="28"/>
                <w:szCs w:val="28"/>
                <w:lang w:val="zh-CN"/>
              </w:rPr>
            </w:pPr>
            <w:r>
              <w:rPr>
                <w:rFonts w:ascii="Times New Roman" w:hAnsi="Times New Roman" w:eastAsia="仿宋_GB2312" w:cs="Times New Roman"/>
                <w:b/>
                <w:color w:val="FFFFFF"/>
                <w:kern w:val="0"/>
                <w:sz w:val="28"/>
                <w:szCs w:val="28"/>
              </w:rPr>
              <w:t>年度指标值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2" w:type="pct"/>
            <w:vMerge w:val="continue"/>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rPr>
                <w:rFonts w:ascii="Times New Roman" w:hAnsi="Times New Roman" w:eastAsia="仿宋_GB2312" w:cs="Times New Roman"/>
                <w:color w:val="000000"/>
                <w:kern w:val="0"/>
                <w:sz w:val="28"/>
                <w:szCs w:val="28"/>
                <w:lang w:val="zh-CN"/>
              </w:rPr>
            </w:pPr>
          </w:p>
        </w:tc>
        <w:tc>
          <w:tcPr>
            <w:tcW w:w="1596" w:type="pct"/>
            <w:vMerge w:val="continue"/>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rPr>
                <w:rFonts w:ascii="Times New Roman" w:hAnsi="Times New Roman" w:eastAsia="仿宋_GB2312" w:cs="Times New Roman"/>
                <w:color w:val="000000"/>
                <w:kern w:val="0"/>
                <w:sz w:val="28"/>
                <w:szCs w:val="28"/>
                <w:lang w:val="zh-CN"/>
              </w:rPr>
            </w:pPr>
          </w:p>
        </w:tc>
        <w:tc>
          <w:tcPr>
            <w:tcW w:w="1652" w:type="pct"/>
            <w:vMerge w:val="continue"/>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rPr>
                <w:rFonts w:ascii="Times New Roman" w:hAnsi="Times New Roman" w:eastAsia="仿宋_GB2312" w:cs="Times New Roman"/>
                <w:color w:val="000000"/>
                <w:kern w:val="0"/>
                <w:sz w:val="28"/>
                <w:szCs w:val="28"/>
                <w:lang w:val="zh-CN"/>
              </w:rPr>
            </w:pPr>
          </w:p>
        </w:tc>
        <w:tc>
          <w:tcPr>
            <w:tcW w:w="938" w:type="pct"/>
            <w:vMerge w:val="continue"/>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rPr>
                <w:rFonts w:ascii="Times New Roman" w:hAnsi="Times New Roman" w:eastAsia="仿宋_GB2312" w:cs="Times New Roman"/>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成本指标</w:t>
            </w:r>
          </w:p>
        </w:tc>
        <w:tc>
          <w:tcPr>
            <w:tcW w:w="1596"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经济成本指标</w:t>
            </w:r>
          </w:p>
        </w:tc>
        <w:tc>
          <w:tcPr>
            <w:tcW w:w="165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检测样品平均成本</w:t>
            </w:r>
          </w:p>
        </w:tc>
        <w:tc>
          <w:tcPr>
            <w:tcW w:w="93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≤1301元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vMerge w:val="restar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产出指标</w:t>
            </w:r>
          </w:p>
        </w:tc>
        <w:tc>
          <w:tcPr>
            <w:tcW w:w="1596"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数量指标</w:t>
            </w:r>
          </w:p>
        </w:tc>
        <w:tc>
          <w:tcPr>
            <w:tcW w:w="165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检测样品数量</w:t>
            </w:r>
          </w:p>
        </w:tc>
        <w:tc>
          <w:tcPr>
            <w:tcW w:w="93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=5379批次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vMerge w:val="continue"/>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spacing w:line="400" w:lineRule="exact"/>
              <w:jc w:val="center"/>
              <w:rPr>
                <w:rFonts w:ascii="Times New Roman" w:hAnsi="Times New Roman" w:eastAsia="仿宋_GB2312" w:cs="Times New Roman"/>
                <w:color w:val="000000"/>
                <w:kern w:val="0"/>
                <w:sz w:val="28"/>
                <w:szCs w:val="28"/>
                <w:lang w:val="zh-CN"/>
              </w:rPr>
            </w:pPr>
          </w:p>
        </w:tc>
        <w:tc>
          <w:tcPr>
            <w:tcW w:w="1596"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质量指标</w:t>
            </w:r>
          </w:p>
        </w:tc>
        <w:tc>
          <w:tcPr>
            <w:tcW w:w="165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检测结果准确率</w:t>
            </w:r>
          </w:p>
        </w:tc>
        <w:tc>
          <w:tcPr>
            <w:tcW w:w="93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vMerge w:val="continue"/>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spacing w:line="400" w:lineRule="exact"/>
              <w:jc w:val="center"/>
              <w:rPr>
                <w:rFonts w:ascii="Times New Roman" w:hAnsi="Times New Roman" w:eastAsia="仿宋_GB2312" w:cs="Times New Roman"/>
                <w:color w:val="000000"/>
                <w:kern w:val="0"/>
                <w:sz w:val="28"/>
                <w:szCs w:val="28"/>
                <w:lang w:val="zh-CN"/>
              </w:rPr>
            </w:pPr>
          </w:p>
        </w:tc>
        <w:tc>
          <w:tcPr>
            <w:tcW w:w="1596"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时效指标</w:t>
            </w:r>
          </w:p>
        </w:tc>
        <w:tc>
          <w:tcPr>
            <w:tcW w:w="165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检测报告出具及时率</w:t>
            </w:r>
          </w:p>
        </w:tc>
        <w:tc>
          <w:tcPr>
            <w:tcW w:w="93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vMerge w:val="restar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效益指标</w:t>
            </w:r>
          </w:p>
        </w:tc>
        <w:tc>
          <w:tcPr>
            <w:tcW w:w="1596"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社会效益指标</w:t>
            </w:r>
          </w:p>
        </w:tc>
        <w:tc>
          <w:tcPr>
            <w:tcW w:w="165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检测样品质量，保障公众饮食、生活安全</w:t>
            </w:r>
          </w:p>
        </w:tc>
        <w:tc>
          <w:tcPr>
            <w:tcW w:w="93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保障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vMerge w:val="continue"/>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spacing w:line="400" w:lineRule="exact"/>
              <w:jc w:val="center"/>
              <w:rPr>
                <w:rFonts w:ascii="Times New Roman" w:hAnsi="Times New Roman" w:eastAsia="仿宋_GB2312" w:cs="Times New Roman"/>
                <w:color w:val="000000"/>
                <w:kern w:val="0"/>
                <w:sz w:val="28"/>
                <w:szCs w:val="28"/>
                <w:lang w:val="zh-CN"/>
              </w:rPr>
            </w:pPr>
          </w:p>
        </w:tc>
        <w:tc>
          <w:tcPr>
            <w:tcW w:w="1596"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可持续发展影响指标</w:t>
            </w:r>
          </w:p>
        </w:tc>
        <w:tc>
          <w:tcPr>
            <w:tcW w:w="1652"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实验室管理制度规范</w:t>
            </w:r>
          </w:p>
        </w:tc>
        <w:tc>
          <w:tcPr>
            <w:tcW w:w="938" w:type="pct"/>
            <w:tcBorders>
              <w:top w:val="single" w:color="FFFFFF" w:sz="8" w:space="0"/>
              <w:left w:val="single" w:color="FFFFFF" w:sz="8" w:space="0"/>
              <w:bottom w:val="single" w:color="FFFFFF" w:sz="8" w:space="0"/>
              <w:right w:val="single" w:color="FFFFFF" w:sz="8" w:space="0"/>
            </w:tcBorders>
            <w:shd w:val="clear" w:color="auto" w:fill="EEF5FA" w:themeFill="accent1" w:themeFillTint="19"/>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规范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满意度指标</w:t>
            </w:r>
          </w:p>
        </w:tc>
        <w:tc>
          <w:tcPr>
            <w:tcW w:w="1596"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服务对象满意度指标</w:t>
            </w:r>
          </w:p>
        </w:tc>
        <w:tc>
          <w:tcPr>
            <w:tcW w:w="1652"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检测人满意度</w:t>
            </w:r>
          </w:p>
        </w:tc>
        <w:tc>
          <w:tcPr>
            <w:tcW w:w="938" w:type="pct"/>
            <w:tcBorders>
              <w:top w:val="single" w:color="FFFFFF" w:sz="8" w:space="0"/>
              <w:left w:val="single" w:color="FFFFFF" w:sz="8" w:space="0"/>
              <w:bottom w:val="single" w:color="FFFFFF" w:sz="8" w:space="0"/>
              <w:right w:val="single" w:color="FFFFFF" w:sz="8" w:space="0"/>
            </w:tcBorders>
            <w:shd w:val="clear" w:color="auto" w:fill="BDD6EE" w:themeFill="accent1" w:themeFillTint="66"/>
            <w:vAlign w:val="center"/>
          </w:tcPr>
          <w:p>
            <w:pPr>
              <w:widowControl/>
              <w:spacing w:line="400" w:lineRule="exact"/>
              <w:jc w:val="center"/>
              <w:textAlignment w:val="center"/>
              <w:rPr>
                <w:rFonts w:ascii="Times New Roman" w:hAnsi="Times New Roman" w:eastAsia="仿宋_GB2312" w:cs="Times New Roman"/>
                <w:color w:val="000000"/>
                <w:kern w:val="0"/>
                <w:sz w:val="28"/>
                <w:szCs w:val="28"/>
                <w:lang w:val="zh-CN"/>
              </w:rPr>
            </w:pPr>
            <w:r>
              <w:rPr>
                <w:rFonts w:ascii="Times New Roman" w:hAnsi="Times New Roman" w:eastAsia="仿宋_GB2312" w:cs="Times New Roman"/>
                <w:color w:val="000000"/>
                <w:kern w:val="0"/>
                <w:sz w:val="28"/>
                <w:szCs w:val="28"/>
                <w:lang w:bidi="ar"/>
              </w:rPr>
              <w:t>≥95%</w:t>
            </w:r>
          </w:p>
        </w:tc>
      </w:tr>
      <w:bookmarkEnd w:id="30"/>
    </w:tbl>
    <w:p>
      <w:pPr>
        <w:pStyle w:val="3"/>
        <w:numPr>
          <w:ilvl w:val="0"/>
          <w:numId w:val="0"/>
        </w:numPr>
        <w:spacing w:line="560" w:lineRule="exact"/>
        <w:ind w:left="0" w:leftChars="0" w:firstLine="640" w:firstLineChars="200"/>
        <w:rPr>
          <w:rFonts w:eastAsia="仿宋_GB2312"/>
        </w:rPr>
      </w:pPr>
      <w:bookmarkStart w:id="32" w:name="_Toc25772"/>
      <w:bookmarkStart w:id="33" w:name="_Toc48873006"/>
      <w:bookmarkStart w:id="34" w:name="_Toc45741722"/>
      <w:r>
        <w:rPr>
          <w:rFonts w:hint="eastAsia" w:ascii="Times New Roman" w:hAnsi="Times New Roman" w:eastAsia="仿宋_GB2312" w:cs="Times New Roman"/>
          <w:bCs/>
          <w:kern w:val="44"/>
          <w:sz w:val="32"/>
          <w:szCs w:val="44"/>
          <w:lang w:val="zh-CN" w:eastAsia="zh-CN" w:bidi="ar-SA"/>
        </w:rPr>
        <w:t>二、</w:t>
      </w:r>
      <w:r>
        <w:rPr>
          <w:rFonts w:eastAsia="仿宋_GB2312"/>
        </w:rPr>
        <w:t>绩效评价实施情况</w:t>
      </w:r>
      <w:bookmarkEnd w:id="32"/>
      <w:bookmarkEnd w:id="33"/>
      <w:bookmarkEnd w:id="34"/>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35" w:name="_Toc8150"/>
      <w:bookmarkStart w:id="36" w:name="_Toc45741724"/>
      <w:bookmarkStart w:id="37" w:name="_Toc32024"/>
      <w:bookmarkStart w:id="38" w:name="_Toc27333"/>
      <w:bookmarkStart w:id="39" w:name="_Toc48873008"/>
      <w:bookmarkStart w:id="40" w:name="_Toc401761511"/>
      <w:r>
        <w:rPr>
          <w:rFonts w:hint="eastAsia" w:ascii="Times New Roman" w:hAnsi="Times New Roman" w:eastAsia="仿宋_GB2312" w:cs="Times New Roman"/>
          <w:b w:val="0"/>
          <w:bCs w:val="0"/>
          <w:color w:val="auto"/>
          <w:kern w:val="2"/>
          <w:sz w:val="28"/>
          <w:szCs w:val="32"/>
          <w:shd w:val="clear" w:color="auto" w:fill="auto"/>
          <w:lang w:val="en-US" w:eastAsia="zh-CN" w:bidi="ar-SA"/>
        </w:rPr>
        <w:t>（一）</w:t>
      </w:r>
      <w:r>
        <w:rPr>
          <w:rFonts w:ascii="Times New Roman" w:hAnsi="Times New Roman" w:eastAsia="仿宋_GB2312" w:cs="Times New Roman"/>
        </w:rPr>
        <w:t>绩效评价目的</w:t>
      </w:r>
      <w:bookmarkEnd w:id="35"/>
    </w:p>
    <w:p>
      <w:pPr>
        <w:pStyle w:val="15"/>
        <w:spacing w:line="560" w:lineRule="exact"/>
        <w:ind w:firstLine="560"/>
        <w:rPr>
          <w:rFonts w:hint="eastAsia"/>
          <w:lang w:val="en-US"/>
        </w:rPr>
      </w:pPr>
      <w:r>
        <w:rPr>
          <w:rFonts w:hint="eastAsia"/>
        </w:rPr>
        <w:t>通过本次绩效评价，</w:t>
      </w:r>
      <w:r>
        <w:rPr>
          <w:rFonts w:hint="eastAsia"/>
          <w:lang w:val="en-US"/>
        </w:rPr>
        <w:t>深入了解威海市文登区检验检测中心2024年检测费项目的</w:t>
      </w:r>
      <w:r>
        <w:rPr>
          <w:rFonts w:hint="eastAsia"/>
        </w:rPr>
        <w:t>实施情况及效益</w:t>
      </w:r>
      <w:r>
        <w:rPr>
          <w:rFonts w:hint="eastAsia"/>
          <w:lang w:val="en-US"/>
        </w:rPr>
        <w:t>，运用科学合理的评价方法、指标体系和评价标准，对该项财政支出和效果进行客观、公正的评价。对各项检测内容的必要性、批次、单价进行核实评价，合理准确确定预算控制额，查找其存在的问题，提出科学合理的建议，加强和规范文登区财政部门的预算管理工作，合理配置公共资源，为保证财政资金的安全、规范、高效使用提供决策依据</w:t>
      </w:r>
      <w:r>
        <w:rPr>
          <w:rFonts w:hint="eastAsia"/>
        </w:rPr>
        <w:t>。</w:t>
      </w:r>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1" w:name="_Toc10407"/>
      <w:r>
        <w:rPr>
          <w:rFonts w:hint="eastAsia" w:ascii="Times New Roman" w:hAnsi="Times New Roman" w:eastAsia="仿宋_GB2312" w:cs="Times New Roman"/>
          <w:b w:val="0"/>
          <w:bCs w:val="0"/>
          <w:color w:val="auto"/>
          <w:kern w:val="2"/>
          <w:sz w:val="28"/>
          <w:szCs w:val="32"/>
          <w:shd w:val="clear" w:color="auto" w:fill="auto"/>
          <w:lang w:val="en-US" w:eastAsia="zh-CN" w:bidi="ar-SA"/>
        </w:rPr>
        <w:t>（二）</w:t>
      </w:r>
      <w:r>
        <w:rPr>
          <w:rFonts w:ascii="Times New Roman" w:hAnsi="Times New Roman" w:eastAsia="仿宋_GB2312" w:cs="Times New Roman"/>
        </w:rPr>
        <w:t>绩效评价对象和范围</w:t>
      </w:r>
      <w:bookmarkEnd w:id="41"/>
    </w:p>
    <w:p>
      <w:pPr>
        <w:pStyle w:val="15"/>
        <w:spacing w:line="560" w:lineRule="exact"/>
        <w:ind w:firstLine="560"/>
        <w:rPr>
          <w:rFonts w:hint="eastAsia"/>
        </w:rPr>
      </w:pPr>
      <w:r>
        <w:rPr>
          <w:rFonts w:hint="eastAsia"/>
        </w:rPr>
        <w:t>绩效评价对象：文登区检验检测中心2024年检测费项目。</w:t>
      </w:r>
    </w:p>
    <w:p>
      <w:pPr>
        <w:pStyle w:val="15"/>
        <w:spacing w:line="560" w:lineRule="exact"/>
        <w:ind w:firstLine="560"/>
        <w:rPr>
          <w:rFonts w:ascii="Times New Roman" w:hAnsi="Times New Roman" w:eastAsia="仿宋_GB2312" w:cs="Times New Roman"/>
          <w:kern w:val="0"/>
          <w:sz w:val="28"/>
          <w:szCs w:val="28"/>
        </w:rPr>
      </w:pPr>
      <w:r>
        <w:rPr>
          <w:rFonts w:hint="eastAsia"/>
        </w:rPr>
        <w:t>评价范围：检测费项目资金的安排、管理和使用及项目的实施、管理、产生的绩效。</w:t>
      </w:r>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2" w:name="_Toc16050"/>
      <w:r>
        <w:rPr>
          <w:rFonts w:hint="eastAsia" w:ascii="Times New Roman" w:hAnsi="Times New Roman" w:eastAsia="仿宋_GB2312" w:cs="Times New Roman"/>
          <w:b w:val="0"/>
          <w:bCs w:val="0"/>
          <w:color w:val="auto"/>
          <w:kern w:val="2"/>
          <w:sz w:val="28"/>
          <w:szCs w:val="32"/>
          <w:shd w:val="clear" w:color="auto" w:fill="auto"/>
          <w:lang w:val="en-US" w:eastAsia="zh-CN" w:bidi="ar-SA"/>
        </w:rPr>
        <w:t>（三）</w:t>
      </w:r>
      <w:r>
        <w:rPr>
          <w:rFonts w:ascii="Times New Roman" w:hAnsi="Times New Roman" w:eastAsia="仿宋_GB2312" w:cs="Times New Roman"/>
        </w:rPr>
        <w:t>绩效评价原则</w:t>
      </w:r>
      <w:bookmarkEnd w:id="42"/>
    </w:p>
    <w:p>
      <w:pPr>
        <w:spacing w:line="560" w:lineRule="exact"/>
        <w:ind w:firstLine="560" w:firstLineChars="20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1.科学公正原则。运用科学合理的方法，按照规范的程序，对项目绩效进行客观、公正的反映，并对评价结果承担责任。</w:t>
      </w:r>
    </w:p>
    <w:p>
      <w:pPr>
        <w:spacing w:line="560" w:lineRule="exact"/>
        <w:ind w:firstLine="560" w:firstLineChars="20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2.严守职业道德规范。不得以任何理由在绩效评价过程中获取不当利益。</w:t>
      </w:r>
    </w:p>
    <w:p>
      <w:pPr>
        <w:spacing w:line="560" w:lineRule="exact"/>
        <w:ind w:firstLine="560" w:firstLineChars="20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3.公正透明原则。绩效评价应当依法依规公开，并自觉接受社会监督。</w:t>
      </w:r>
    </w:p>
    <w:p>
      <w:pPr>
        <w:spacing w:line="560" w:lineRule="exact"/>
        <w:ind w:firstLine="560" w:firstLineChars="20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4.严守保密纪律。不得向无关方泄露被评价单位的有关数据、业务资料和绩效评价信息。</w:t>
      </w:r>
    </w:p>
    <w:p>
      <w:pPr>
        <w:spacing w:line="560" w:lineRule="exact"/>
        <w:ind w:firstLine="560" w:firstLineChars="200"/>
        <w:rPr>
          <w:rFonts w:ascii="Times New Roman" w:hAnsi="Times New Roman" w:eastAsia="仿宋_GB2312" w:cs="Times New Roman"/>
          <w:kern w:val="0"/>
          <w:sz w:val="28"/>
          <w:szCs w:val="28"/>
          <w:lang w:val="zh-CN"/>
        </w:rPr>
      </w:pPr>
      <w:r>
        <w:rPr>
          <w:rFonts w:ascii="Times New Roman" w:hAnsi="Times New Roman" w:eastAsia="仿宋_GB2312" w:cs="Times New Roman"/>
          <w:kern w:val="0"/>
          <w:sz w:val="28"/>
          <w:szCs w:val="28"/>
          <w:lang w:val="zh-CN"/>
        </w:rPr>
        <w:t>5.绩效相关原则。绩效评价工作应当针对具体支出及产出绩效进行，评价结果应当清晰反映支出和产出绩效之间的紧密对应关系。</w:t>
      </w:r>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3" w:name="_Toc3276"/>
      <w:r>
        <w:rPr>
          <w:rFonts w:hint="eastAsia" w:ascii="Times New Roman" w:hAnsi="Times New Roman" w:eastAsia="仿宋_GB2312" w:cs="Times New Roman"/>
          <w:b w:val="0"/>
          <w:bCs w:val="0"/>
          <w:color w:val="auto"/>
          <w:kern w:val="0"/>
          <w:sz w:val="28"/>
          <w:szCs w:val="28"/>
          <w:lang w:val="en-US" w:eastAsia="zh-CN" w:bidi="ar-SA"/>
        </w:rPr>
        <w:t>（四）</w:t>
      </w:r>
      <w:r>
        <w:rPr>
          <w:rFonts w:ascii="Times New Roman" w:hAnsi="Times New Roman" w:eastAsia="仿宋_GB2312" w:cs="Times New Roman"/>
        </w:rPr>
        <w:t>绩效评价指标体系</w:t>
      </w:r>
      <w:bookmarkEnd w:id="43"/>
    </w:p>
    <w:p>
      <w:pPr>
        <w:pStyle w:val="15"/>
        <w:spacing w:line="560" w:lineRule="exact"/>
        <w:ind w:firstLine="560"/>
      </w:pPr>
      <w:r>
        <w:t>本次指标设计主要依据财政部印发的《项目支出绩效评价管理办法》（财预〔2020〕10号）中“</w:t>
      </w:r>
      <w:r>
        <w:rPr>
          <w:lang w:val="en-US"/>
        </w:rPr>
        <w:t>项目支出绩效评价指标体系框架（参考）</w:t>
      </w:r>
      <w:r>
        <w:t>”进行设计</w:t>
      </w:r>
      <w:r>
        <w:rPr>
          <w:lang w:val="en-US"/>
        </w:rPr>
        <w:t>。</w:t>
      </w:r>
      <w:r>
        <w:t>其中仅一级指标未做修改，部分二级、三级指标做出个性化修改。内容包含绩效评价指标、目标值、分值、指标解释、指标评价因素要点说明及评分细则、数据来源和收集方法。</w:t>
      </w:r>
    </w:p>
    <w:p>
      <w:pPr>
        <w:pStyle w:val="15"/>
        <w:spacing w:line="560" w:lineRule="exact"/>
        <w:ind w:firstLine="560"/>
      </w:pPr>
      <w:r>
        <w:t>财政支出绩效评价工作应重点关注产出和效益，据此思路，本指标体系一级指标决策、过程、产出和效益权重分别为</w:t>
      </w:r>
      <w:r>
        <w:rPr>
          <w:rFonts w:hint="eastAsia"/>
          <w:lang w:val="en-US"/>
        </w:rPr>
        <w:t>20</w:t>
      </w:r>
      <w:r>
        <w:t>%、</w:t>
      </w:r>
      <w:r>
        <w:rPr>
          <w:lang w:val="en-US"/>
        </w:rPr>
        <w:t>2</w:t>
      </w:r>
      <w:r>
        <w:rPr>
          <w:rFonts w:hint="eastAsia"/>
          <w:lang w:val="en-US"/>
        </w:rPr>
        <w:t>0</w:t>
      </w:r>
      <w:r>
        <w:t>%、</w:t>
      </w:r>
      <w:r>
        <w:rPr>
          <w:lang w:val="en-US"/>
        </w:rPr>
        <w:t>30</w:t>
      </w:r>
      <w:r>
        <w:t>%、</w:t>
      </w:r>
      <w:r>
        <w:rPr>
          <w:lang w:val="en-US"/>
        </w:rPr>
        <w:t>30</w:t>
      </w:r>
      <w:r>
        <w:t>%。</w:t>
      </w:r>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4" w:name="_Toc19646"/>
      <w:r>
        <w:rPr>
          <w:rFonts w:hint="eastAsia" w:ascii="Times New Roman" w:hAnsi="Times New Roman" w:eastAsia="仿宋_GB2312" w:cs="Times New Roman"/>
          <w:b w:val="0"/>
          <w:bCs w:val="0"/>
          <w:color w:val="auto"/>
          <w:kern w:val="2"/>
          <w:sz w:val="28"/>
          <w:szCs w:val="32"/>
          <w:shd w:val="clear" w:color="auto" w:fill="auto"/>
          <w:lang w:val="en-US" w:eastAsia="zh-CN" w:bidi="ar-SA"/>
        </w:rPr>
        <w:t>（五）</w:t>
      </w:r>
      <w:r>
        <w:rPr>
          <w:rFonts w:ascii="Times New Roman" w:hAnsi="Times New Roman" w:eastAsia="仿宋_GB2312" w:cs="Times New Roman"/>
        </w:rPr>
        <w:t>评价方法</w:t>
      </w:r>
      <w:bookmarkEnd w:id="44"/>
    </w:p>
    <w:p>
      <w:pPr>
        <w:pStyle w:val="15"/>
        <w:spacing w:line="560" w:lineRule="exact"/>
        <w:ind w:firstLine="560"/>
      </w:pPr>
      <w:r>
        <w:t>本次评价运用因素分析法、社会调查法等多种方法，既有定性分析又有定量分析，坚持定量与定性相结合、</w:t>
      </w:r>
      <w:r>
        <w:rPr>
          <w:lang w:val="en-US"/>
        </w:rPr>
        <w:t>共性和个性相结合</w:t>
      </w:r>
      <w:r>
        <w:t>的方式。</w:t>
      </w:r>
    </w:p>
    <w:p>
      <w:pPr>
        <w:pStyle w:val="15"/>
        <w:spacing w:line="560" w:lineRule="exact"/>
        <w:ind w:firstLine="562"/>
        <w:rPr>
          <w:b/>
          <w:lang w:val="en-US"/>
        </w:rPr>
      </w:pPr>
      <w:r>
        <w:rPr>
          <w:b/>
          <w:lang w:val="en-US"/>
        </w:rPr>
        <w:t>1.因素分析法</w:t>
      </w:r>
    </w:p>
    <w:p>
      <w:pPr>
        <w:pStyle w:val="15"/>
        <w:spacing w:line="560" w:lineRule="exact"/>
        <w:ind w:firstLine="560"/>
        <w:rPr>
          <w:lang w:val="en-US"/>
        </w:rPr>
      </w:pPr>
      <w:r>
        <w:rPr>
          <w:lang w:val="en-US"/>
        </w:rPr>
        <w:t>对某些指标采用因素分析法进行评价，综合分析影响绩效目标实现、实施效果的内外因素，评价绩效目标实现程度，通过设置项目决策、项目管理、项目效果等维度的评价指标，评价指标设置客观、科学、合理的评价因素和评价规则，构建客观、科学的项目评价综合指标体系，并设置相应的指标权重与评分标准，对项目进行综合、全面的评价。</w:t>
      </w:r>
    </w:p>
    <w:p>
      <w:pPr>
        <w:pStyle w:val="15"/>
        <w:spacing w:line="560" w:lineRule="exact"/>
        <w:ind w:firstLine="562"/>
        <w:rPr>
          <w:b/>
          <w:lang w:val="en-US"/>
        </w:rPr>
      </w:pPr>
      <w:r>
        <w:rPr>
          <w:b/>
          <w:lang w:val="en-US"/>
        </w:rPr>
        <w:t>2.社会调查法</w:t>
      </w:r>
    </w:p>
    <w:p>
      <w:pPr>
        <w:pStyle w:val="15"/>
        <w:spacing w:line="560" w:lineRule="exact"/>
        <w:ind w:firstLine="560"/>
      </w:pPr>
      <w:r>
        <w:t>社会调查方法是专题研究中常用的基本研究方法，评价组采用实地访谈、抽样调查等社会调查法对</w:t>
      </w:r>
      <w:r>
        <w:rPr>
          <w:rFonts w:hint="eastAsia"/>
        </w:rPr>
        <w:t>文登区检测费项目</w:t>
      </w:r>
      <w:r>
        <w:t>进行系统的调研了解，作为对相关基础统计数据的进一步验证，为评价指标打分和结果分析提供相关佐证资料和数据支撑。</w:t>
      </w:r>
    </w:p>
    <w:p>
      <w:pPr>
        <w:pStyle w:val="15"/>
        <w:spacing w:line="560" w:lineRule="exact"/>
        <w:ind w:firstLine="562"/>
        <w:rPr>
          <w:b/>
          <w:lang w:val="en-US"/>
        </w:rPr>
      </w:pPr>
      <w:r>
        <w:rPr>
          <w:b/>
          <w:lang w:val="en-US"/>
        </w:rPr>
        <w:t>3.个性化指标的设计方法</w:t>
      </w:r>
    </w:p>
    <w:p>
      <w:pPr>
        <w:pStyle w:val="15"/>
        <w:spacing w:line="560" w:lineRule="exact"/>
        <w:ind w:firstLine="560"/>
        <w:rPr>
          <w:lang w:val="en-US"/>
        </w:rPr>
      </w:pPr>
      <w:r>
        <w:rPr>
          <w:lang w:val="en-US"/>
        </w:rPr>
        <w:t>参照财政部关于印发《项目支出绩效评价管理办法》的通知（财预〔2020〕10号）中“项目支出绩效评价指标体系框架（参考）”的共性指标，结合食品检测项目特点，结合SMART原则，对部分评价指标进行个性化设计，充分反映绩效评价的全面性、检测项目的应用性，关注项目的产出及效益。</w:t>
      </w:r>
    </w:p>
    <w:p>
      <w:pPr>
        <w:pStyle w:val="15"/>
        <w:numPr>
          <w:ilvl w:val="0"/>
          <w:numId w:val="3"/>
        </w:numPr>
        <w:spacing w:line="560" w:lineRule="exact"/>
        <w:ind w:firstLine="562"/>
      </w:pPr>
      <w:r>
        <w:rPr>
          <w:b/>
          <w:bCs/>
          <w:lang w:val="en-US"/>
        </w:rPr>
        <w:t>评价因素层次分析法</w:t>
      </w:r>
    </w:p>
    <w:p>
      <w:pPr>
        <w:pStyle w:val="15"/>
        <w:spacing w:line="560" w:lineRule="exact"/>
        <w:ind w:firstLine="560"/>
        <w:rPr>
          <w:lang w:val="en-US"/>
        </w:rPr>
      </w:pPr>
      <w:r>
        <w:t>根据财政部财预〔</w:t>
      </w:r>
      <w:r>
        <w:rPr>
          <w:lang w:val="en-US"/>
        </w:rPr>
        <w:t>2020</w:t>
      </w:r>
      <w:r>
        <w:t>〕</w:t>
      </w:r>
      <w:r>
        <w:rPr>
          <w:lang w:val="en-US"/>
        </w:rPr>
        <w:t>10号文中的“项目支出绩效评价指标体系框架（参考）”，结合本项目具体情况，按照绩效相关原则，将各评价因素进行了层次划分，形成不同层级的评价因素；根据指标对项目的重要性和影响度，对一级指标、二级指标分别进行比较并赋予权重分，将三级指标分解成若干关键评价因素，分层次全面反映项目的决策、过程、产出和效益。</w:t>
      </w:r>
    </w:p>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5" w:name="_Toc15698"/>
      <w:r>
        <w:rPr>
          <w:rFonts w:hint="eastAsia" w:ascii="Times New Roman" w:hAnsi="Times New Roman" w:eastAsia="仿宋_GB2312" w:cs="Times New Roman"/>
          <w:b/>
          <w:bCs/>
          <w:color w:val="auto"/>
          <w:kern w:val="2"/>
          <w:sz w:val="28"/>
          <w:szCs w:val="32"/>
          <w:shd w:val="clear" w:color="auto" w:fill="auto"/>
          <w:lang w:val="en-US" w:eastAsia="zh-CN" w:bidi="ar-SA"/>
        </w:rPr>
        <w:t>（六）</w:t>
      </w:r>
      <w:r>
        <w:rPr>
          <w:rFonts w:ascii="Times New Roman" w:hAnsi="Times New Roman" w:eastAsia="仿宋_GB2312" w:cs="Times New Roman"/>
        </w:rPr>
        <w:t>绩效评价工作过程</w:t>
      </w:r>
      <w:bookmarkEnd w:id="45"/>
    </w:p>
    <w:p>
      <w:pPr>
        <w:pStyle w:val="15"/>
        <w:spacing w:line="560" w:lineRule="exact"/>
        <w:ind w:firstLine="560"/>
      </w:pPr>
      <w:r>
        <w:t>本项目的评价工作期间为</w:t>
      </w:r>
      <w:r>
        <w:rPr>
          <w:rFonts w:hint="eastAsia"/>
        </w:rPr>
        <w:t>2025年</w:t>
      </w:r>
      <w:r>
        <w:rPr>
          <w:lang w:val="en-US"/>
        </w:rPr>
        <w:t>6</w:t>
      </w:r>
      <w:r>
        <w:t>月</w:t>
      </w:r>
      <w:r>
        <w:rPr>
          <w:rFonts w:hint="eastAsia"/>
          <w:lang w:val="en-US"/>
        </w:rPr>
        <w:t>19</w:t>
      </w:r>
      <w:r>
        <w:t>日至</w:t>
      </w:r>
      <w:r>
        <w:rPr>
          <w:rFonts w:hint="eastAsia"/>
        </w:rPr>
        <w:t>2025年</w:t>
      </w:r>
      <w:r>
        <w:rPr>
          <w:rFonts w:hint="eastAsia"/>
          <w:lang w:val="en-US"/>
        </w:rPr>
        <w:t>8</w:t>
      </w:r>
      <w:r>
        <w:t>月</w:t>
      </w:r>
      <w:r>
        <w:rPr>
          <w:rFonts w:hint="eastAsia"/>
          <w:lang w:val="en-US"/>
        </w:rPr>
        <w:t>31</w:t>
      </w:r>
      <w:r>
        <w:t>日。自</w:t>
      </w:r>
      <w:r>
        <w:rPr>
          <w:rFonts w:hint="eastAsia"/>
        </w:rPr>
        <w:t>2025年</w:t>
      </w:r>
      <w:r>
        <w:rPr>
          <w:rFonts w:hint="eastAsia"/>
          <w:lang w:val="en-US"/>
        </w:rPr>
        <w:t>6</w:t>
      </w:r>
      <w:r>
        <w:t>月评价项目启动以来，评价组通过前期调研的充分准备，完成了项目绩效评价工作方案，明确了评价的目的、方法、原则、指标、标准和社会调查方案等。评价组严格按照工作方案，经过了数据采集、问卷调查、访谈、数据分析和报告撰写等环节，顺利完成了</w:t>
      </w:r>
      <w:r>
        <w:rPr>
          <w:rFonts w:hint="eastAsia"/>
        </w:rPr>
        <w:t>文登区检测费项目</w:t>
      </w:r>
      <w:r>
        <w:t>绩效评价工作。各环节的具体工作安排如下：</w:t>
      </w:r>
    </w:p>
    <w:p>
      <w:pPr>
        <w:pStyle w:val="15"/>
        <w:spacing w:line="560" w:lineRule="exact"/>
        <w:ind w:firstLine="562"/>
        <w:rPr>
          <w:b/>
        </w:rPr>
      </w:pPr>
      <w:r>
        <w:rPr>
          <w:b/>
        </w:rPr>
        <w:t>1.项目前期准备——</w:t>
      </w:r>
      <w:r>
        <w:rPr>
          <w:rFonts w:hint="eastAsia"/>
          <w:b/>
        </w:rPr>
        <w:t>2025年</w:t>
      </w:r>
      <w:r>
        <w:rPr>
          <w:b/>
          <w:lang w:val="en-US"/>
        </w:rPr>
        <w:t>6</w:t>
      </w:r>
      <w:r>
        <w:rPr>
          <w:b/>
        </w:rPr>
        <w:t>月</w:t>
      </w:r>
      <w:r>
        <w:rPr>
          <w:b/>
          <w:lang w:val="en-US"/>
        </w:rPr>
        <w:t>1</w:t>
      </w:r>
      <w:r>
        <w:rPr>
          <w:rFonts w:hint="eastAsia"/>
          <w:b/>
          <w:lang w:val="en-US"/>
        </w:rPr>
        <w:t>9</w:t>
      </w:r>
      <w:r>
        <w:rPr>
          <w:b/>
        </w:rPr>
        <w:t>日至</w:t>
      </w:r>
      <w:r>
        <w:rPr>
          <w:rFonts w:hint="eastAsia"/>
          <w:b/>
          <w:lang w:val="en-US"/>
        </w:rPr>
        <w:t>7</w:t>
      </w:r>
      <w:r>
        <w:rPr>
          <w:b/>
        </w:rPr>
        <w:t>月</w:t>
      </w:r>
      <w:r>
        <w:rPr>
          <w:rFonts w:hint="eastAsia"/>
          <w:b/>
          <w:lang w:val="en-US"/>
        </w:rPr>
        <w:t>7</w:t>
      </w:r>
      <w:r>
        <w:rPr>
          <w:b/>
        </w:rPr>
        <w:t>日</w:t>
      </w:r>
    </w:p>
    <w:p>
      <w:pPr>
        <w:pStyle w:val="15"/>
        <w:spacing w:line="560" w:lineRule="exact"/>
        <w:ind w:firstLine="560"/>
        <w:rPr>
          <w:lang w:val="en-US"/>
        </w:rPr>
      </w:pPr>
      <w:r>
        <w:t>该阶段主要是成立绩效评价小组，并进行前期的资料收集，联系对接时间并进行项目对接和资料收集等。结合实际工作安排，确定本项目的评价小组成员并拟定相关项目负责人；根据文登区财政局委托时所了解的项目概况进行资料搜集并制定资料清单；联系被评价单位负责人发送资料清单并确定对接时间，与对口科室进行初</w:t>
      </w:r>
      <w:r>
        <w:rPr>
          <w:lang w:val="en-US"/>
        </w:rPr>
        <w:t>次绩效访谈</w:t>
      </w:r>
      <w:r>
        <w:t>。</w:t>
      </w:r>
    </w:p>
    <w:p>
      <w:pPr>
        <w:pStyle w:val="15"/>
        <w:spacing w:line="560" w:lineRule="exact"/>
        <w:ind w:firstLine="562"/>
        <w:rPr>
          <w:b/>
          <w:lang w:val="en-US"/>
        </w:rPr>
      </w:pPr>
      <w:r>
        <w:rPr>
          <w:b/>
          <w:lang w:val="en-US"/>
        </w:rPr>
        <w:t>2.</w:t>
      </w:r>
      <w:r>
        <w:rPr>
          <w:b/>
        </w:rPr>
        <w:t>方案制定</w:t>
      </w:r>
      <w:r>
        <w:rPr>
          <w:b/>
          <w:lang w:val="en-US"/>
        </w:rPr>
        <w:t>——</w:t>
      </w:r>
      <w:r>
        <w:rPr>
          <w:rFonts w:hint="eastAsia"/>
          <w:b/>
          <w:lang w:val="en-US"/>
        </w:rPr>
        <w:t>2025年7</w:t>
      </w:r>
      <w:r>
        <w:rPr>
          <w:b/>
          <w:lang w:val="en-US"/>
        </w:rPr>
        <w:t>月</w:t>
      </w:r>
      <w:r>
        <w:rPr>
          <w:rFonts w:hint="eastAsia"/>
          <w:b/>
          <w:lang w:val="en-US"/>
        </w:rPr>
        <w:t>8</w:t>
      </w:r>
      <w:r>
        <w:rPr>
          <w:b/>
          <w:lang w:val="en-US"/>
        </w:rPr>
        <w:t>日至</w:t>
      </w:r>
      <w:r>
        <w:rPr>
          <w:rFonts w:hint="eastAsia"/>
          <w:b/>
          <w:lang w:val="en-US"/>
        </w:rPr>
        <w:t>7</w:t>
      </w:r>
      <w:r>
        <w:rPr>
          <w:b/>
          <w:lang w:val="en-US"/>
        </w:rPr>
        <w:t>月13日</w:t>
      </w:r>
    </w:p>
    <w:p>
      <w:pPr>
        <w:pStyle w:val="15"/>
        <w:spacing w:line="560" w:lineRule="exact"/>
        <w:ind w:firstLine="560"/>
      </w:pPr>
      <w:r>
        <w:t>根据实际情况和绩效管理要求，</w:t>
      </w:r>
      <w:r>
        <w:rPr>
          <w:lang w:val="en-US"/>
        </w:rPr>
        <w:t>结合前期调研了解的情况，</w:t>
      </w:r>
      <w:r>
        <w:t>撰写绩效评价工作方案，包括工作计划的制定、指标的梳理等，</w:t>
      </w:r>
      <w:r>
        <w:rPr>
          <w:lang w:val="en-US"/>
        </w:rPr>
        <w:t>并进行方案的复核，继而完善方案</w:t>
      </w:r>
      <w:r>
        <w:t>。</w:t>
      </w:r>
    </w:p>
    <w:p>
      <w:pPr>
        <w:pStyle w:val="15"/>
        <w:spacing w:line="560" w:lineRule="exact"/>
        <w:ind w:firstLine="562"/>
        <w:rPr>
          <w:b/>
        </w:rPr>
      </w:pPr>
      <w:r>
        <w:rPr>
          <w:b/>
        </w:rPr>
        <w:t>3.组织实施阶段——</w:t>
      </w:r>
      <w:r>
        <w:rPr>
          <w:rFonts w:hint="eastAsia"/>
          <w:b/>
        </w:rPr>
        <w:t>2025年</w:t>
      </w:r>
      <w:r>
        <w:rPr>
          <w:rFonts w:hint="eastAsia"/>
          <w:b/>
          <w:lang w:val="en-US"/>
        </w:rPr>
        <w:t>7</w:t>
      </w:r>
      <w:r>
        <w:rPr>
          <w:b/>
        </w:rPr>
        <w:t>月1</w:t>
      </w:r>
      <w:r>
        <w:rPr>
          <w:b/>
          <w:lang w:val="en-US"/>
        </w:rPr>
        <w:t>4</w:t>
      </w:r>
      <w:r>
        <w:rPr>
          <w:b/>
        </w:rPr>
        <w:t>日至</w:t>
      </w:r>
      <w:r>
        <w:rPr>
          <w:rFonts w:hint="eastAsia"/>
          <w:b/>
          <w:lang w:val="en-US"/>
        </w:rPr>
        <w:t>8</w:t>
      </w:r>
      <w:r>
        <w:rPr>
          <w:b/>
        </w:rPr>
        <w:t>月</w:t>
      </w:r>
      <w:r>
        <w:rPr>
          <w:rFonts w:hint="eastAsia"/>
          <w:b/>
          <w:lang w:val="en-US"/>
        </w:rPr>
        <w:t>15</w:t>
      </w:r>
      <w:r>
        <w:rPr>
          <w:b/>
        </w:rPr>
        <w:t>日</w:t>
      </w:r>
    </w:p>
    <w:p>
      <w:pPr>
        <w:pStyle w:val="15"/>
        <w:spacing w:line="560" w:lineRule="exact"/>
        <w:ind w:firstLine="560"/>
      </w:pPr>
      <w:r>
        <w:t>进行现场调研，评价组与项目单位人员现场沟通，并对检验检测中心实地走访，通过查阅资料、工作座谈，充分听取项目单位意见，分析佐证材料，多渠道获取项目信息；此阶段进行查证包括资金合规性的检查、合同的检查等</w:t>
      </w:r>
      <w:r>
        <w:rPr>
          <w:lang w:val="en-US"/>
        </w:rPr>
        <w:t>；</w:t>
      </w:r>
      <w:r>
        <w:t>建立指标体系，走访调研后，评价工作组就项目资料进行分析审核，对相关问题进行集中讨论，建立项目绩效评价指标体系。</w:t>
      </w:r>
    </w:p>
    <w:p>
      <w:pPr>
        <w:pStyle w:val="15"/>
        <w:spacing w:line="560" w:lineRule="exact"/>
        <w:ind w:firstLine="562"/>
        <w:rPr>
          <w:b/>
        </w:rPr>
      </w:pPr>
      <w:r>
        <w:rPr>
          <w:b/>
        </w:rPr>
        <w:t>4.撰写报告阶段——</w:t>
      </w:r>
      <w:r>
        <w:rPr>
          <w:rFonts w:hint="eastAsia"/>
          <w:b/>
        </w:rPr>
        <w:t>2025年</w:t>
      </w:r>
      <w:r>
        <w:rPr>
          <w:rFonts w:hint="eastAsia"/>
          <w:b/>
          <w:lang w:val="en-US"/>
        </w:rPr>
        <w:t>8</w:t>
      </w:r>
      <w:r>
        <w:rPr>
          <w:b/>
        </w:rPr>
        <w:t>月</w:t>
      </w:r>
      <w:r>
        <w:rPr>
          <w:rFonts w:hint="eastAsia"/>
          <w:b/>
          <w:lang w:val="en-US"/>
        </w:rPr>
        <w:t>16</w:t>
      </w:r>
      <w:r>
        <w:rPr>
          <w:b/>
        </w:rPr>
        <w:t>日至</w:t>
      </w:r>
      <w:r>
        <w:rPr>
          <w:rFonts w:hint="eastAsia"/>
          <w:b/>
          <w:lang w:val="en-US"/>
        </w:rPr>
        <w:t>8</w:t>
      </w:r>
      <w:r>
        <w:rPr>
          <w:b/>
        </w:rPr>
        <w:t>月</w:t>
      </w:r>
      <w:r>
        <w:rPr>
          <w:b/>
          <w:lang w:val="en-US"/>
        </w:rPr>
        <w:t>31</w:t>
      </w:r>
      <w:r>
        <w:rPr>
          <w:b/>
        </w:rPr>
        <w:t>日</w:t>
      </w:r>
    </w:p>
    <w:p>
      <w:pPr>
        <w:pStyle w:val="15"/>
        <w:spacing w:line="560" w:lineRule="exact"/>
        <w:ind w:firstLine="560"/>
      </w:pPr>
      <w:r>
        <w:t>根据前期搜集的资料进行分类、分析，根据方案确定的评价指标、评价规则对各指标逐项进行评判，做底稿记录，最终根据评价工作过程中形成的工作底稿撰写评价报告。</w:t>
      </w:r>
    </w:p>
    <w:bookmarkEnd w:id="36"/>
    <w:bookmarkEnd w:id="37"/>
    <w:bookmarkEnd w:id="38"/>
    <w:bookmarkEnd w:id="39"/>
    <w:bookmarkEnd w:id="40"/>
    <w:p>
      <w:pPr>
        <w:pStyle w:val="4"/>
        <w:numPr>
          <w:ilvl w:val="0"/>
          <w:numId w:val="0"/>
        </w:numPr>
        <w:spacing w:before="60" w:line="560" w:lineRule="exact"/>
        <w:ind w:left="68" w:leftChars="0" w:firstLine="562" w:firstLineChars="0"/>
        <w:jc w:val="left"/>
        <w:rPr>
          <w:rFonts w:ascii="Times New Roman" w:hAnsi="Times New Roman" w:eastAsia="仿宋_GB2312" w:cs="Times New Roman"/>
        </w:rPr>
      </w:pPr>
      <w:bookmarkStart w:id="46" w:name="_Toc3273"/>
      <w:bookmarkStart w:id="47" w:name="_Toc90411611"/>
      <w:r>
        <w:rPr>
          <w:rFonts w:hint="eastAsia" w:ascii="Times New Roman" w:hAnsi="Times New Roman" w:eastAsia="仿宋_GB2312" w:cs="Times New Roman"/>
          <w:b w:val="0"/>
          <w:bCs w:val="0"/>
          <w:color w:val="auto"/>
          <w:kern w:val="2"/>
          <w:sz w:val="28"/>
          <w:szCs w:val="32"/>
          <w:shd w:val="clear" w:color="auto" w:fill="auto"/>
          <w:lang w:val="en-US" w:eastAsia="zh-CN" w:bidi="ar-SA"/>
        </w:rPr>
        <w:t>（七）</w:t>
      </w:r>
      <w:r>
        <w:rPr>
          <w:rFonts w:ascii="Times New Roman" w:hAnsi="Times New Roman" w:eastAsia="仿宋_GB2312" w:cs="Times New Roman"/>
        </w:rPr>
        <w:t>绩效评价局限性</w:t>
      </w:r>
      <w:bookmarkEnd w:id="46"/>
      <w:bookmarkEnd w:id="47"/>
    </w:p>
    <w:p>
      <w:pPr>
        <w:spacing w:line="560" w:lineRule="exact"/>
        <w:ind w:firstLine="560" w:firstLineChars="20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val="zh-CN"/>
        </w:rPr>
        <w:t>文登区检验检测中心</w:t>
      </w:r>
      <w:r>
        <w:rPr>
          <w:rFonts w:hint="eastAsia" w:ascii="Times New Roman" w:hAnsi="Times New Roman" w:eastAsia="仿宋_GB2312" w:cs="Times New Roman"/>
          <w:kern w:val="0"/>
          <w:sz w:val="28"/>
          <w:szCs w:val="28"/>
        </w:rPr>
        <w:t>主要接受委托开展相关检测工作，</w:t>
      </w:r>
      <w:r>
        <w:rPr>
          <w:rFonts w:ascii="Times New Roman" w:hAnsi="Times New Roman" w:eastAsia="仿宋_GB2312" w:cs="Times New Roman"/>
          <w:kern w:val="0"/>
          <w:sz w:val="28"/>
          <w:szCs w:val="28"/>
        </w:rPr>
        <w:t>区检验检测中心作为检测服务提供者，其检测任务主要由</w:t>
      </w:r>
      <w:r>
        <w:rPr>
          <w:rFonts w:hint="eastAsia" w:ascii="Times New Roman" w:hAnsi="Times New Roman" w:eastAsia="仿宋_GB2312" w:cs="Times New Roman"/>
          <w:kern w:val="0"/>
          <w:sz w:val="28"/>
          <w:szCs w:val="28"/>
        </w:rPr>
        <w:t>区市场监管局、</w:t>
      </w:r>
      <w:r>
        <w:rPr>
          <w:rFonts w:ascii="Times New Roman" w:hAnsi="Times New Roman" w:eastAsia="仿宋_GB2312" w:cs="Times New Roman"/>
          <w:kern w:val="0"/>
          <w:sz w:val="28"/>
          <w:szCs w:val="28"/>
        </w:rPr>
        <w:t>区畜牧兽医事业发展中心、区农业农村局、区海洋局等政府部门根据其监管职责、工作计划和需求进行委托</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这意味着</w:t>
      </w:r>
      <w:r>
        <w:rPr>
          <w:rFonts w:hint="eastAsia" w:ascii="Times New Roman" w:hAnsi="Times New Roman" w:eastAsia="仿宋_GB2312" w:cs="Times New Roman"/>
          <w:kern w:val="0"/>
          <w:sz w:val="28"/>
          <w:szCs w:val="28"/>
        </w:rPr>
        <w:t>检测</w:t>
      </w:r>
      <w:r>
        <w:rPr>
          <w:rFonts w:ascii="Times New Roman" w:hAnsi="Times New Roman" w:eastAsia="仿宋_GB2312" w:cs="Times New Roman"/>
          <w:kern w:val="0"/>
          <w:sz w:val="28"/>
          <w:szCs w:val="28"/>
        </w:rPr>
        <w:t>中心的工作重点、检测项目、抽检数量等都很大程度上受制于委托方的安排和优先级</w:t>
      </w:r>
      <w:r>
        <w:rPr>
          <w:rFonts w:hint="eastAsia" w:ascii="Times New Roman" w:hAnsi="Times New Roman" w:eastAsia="仿宋_GB2312" w:cs="Times New Roman"/>
          <w:kern w:val="0"/>
          <w:sz w:val="28"/>
          <w:szCs w:val="28"/>
        </w:rPr>
        <w:t>。本次评价责任单位虽为区检验检测中心，但项目实际执行过程中涉及政府部门较多，</w:t>
      </w:r>
      <w:r>
        <w:rPr>
          <w:rFonts w:ascii="Times New Roman" w:hAnsi="Times New Roman" w:eastAsia="仿宋_GB2312" w:cs="Times New Roman"/>
          <w:kern w:val="0"/>
          <w:sz w:val="28"/>
          <w:szCs w:val="28"/>
        </w:rPr>
        <w:t>绩效评价的维度和深度，受限于其作为“执行者”的角色，</w:t>
      </w:r>
      <w:r>
        <w:rPr>
          <w:rFonts w:hint="eastAsia" w:ascii="Times New Roman" w:hAnsi="Times New Roman" w:eastAsia="仿宋_GB2312" w:cs="Times New Roman"/>
          <w:kern w:val="0"/>
          <w:sz w:val="28"/>
          <w:szCs w:val="28"/>
        </w:rPr>
        <w:t>评价</w:t>
      </w:r>
      <w:r>
        <w:rPr>
          <w:rFonts w:ascii="Times New Roman" w:hAnsi="Times New Roman" w:eastAsia="仿宋_GB2312" w:cs="Times New Roman"/>
          <w:kern w:val="0"/>
          <w:sz w:val="28"/>
          <w:szCs w:val="28"/>
        </w:rPr>
        <w:t>结论难免存在一定的局限性。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bCs/>
          <w:kern w:val="44"/>
          <w:sz w:val="32"/>
          <w:szCs w:val="44"/>
          <w:lang w:val="zh-CN" w:eastAsia="zh-CN" w:bidi="ar-SA"/>
        </w:rPr>
        <w:t>三、</w:t>
      </w:r>
      <w:r>
        <w:rPr>
          <w:rFonts w:eastAsia="仿宋_GB2312"/>
        </w:rPr>
        <w:t>绩效评价</w:t>
      </w:r>
      <w:r>
        <w:rPr>
          <w:rFonts w:hint="eastAsia" w:eastAsia="仿宋_GB2312"/>
          <w:lang w:eastAsia="zh-CN"/>
        </w:rPr>
        <w:t>结论</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eastAsia" w:ascii="Times New Roman" w:hAnsi="Times New Roman" w:eastAsia="仿宋_GB2312" w:cs="Times New Roman"/>
          <w:kern w:val="0"/>
          <w:sz w:val="28"/>
          <w:szCs w:val="28"/>
          <w:lang w:val="en-US" w:eastAsia="zh-CN"/>
        </w:rPr>
        <w:t>经评价，文登区2024年检测费项目的绩效评价总体评分为：85分，评价结论为：“良”</w:t>
      </w:r>
      <w:r>
        <w:rPr>
          <w:rFonts w:hint="eastAsia" w:ascii="Times New Roman" w:hAnsi="Times New Roman" w:eastAsia="仿宋_GB2312" w:cs="Times New Roman"/>
          <w:kern w:val="0"/>
          <w:sz w:val="28"/>
          <w:szCs w:val="28"/>
          <w:lang w:val="en-US" w:eastAsia="zh-CN"/>
        </w:rPr>
        <w:footnoteReference w:id="0"/>
      </w:r>
      <w:r>
        <w:rPr>
          <w:rFonts w:hint="eastAsia" w:ascii="Times New Roman" w:hAnsi="Times New Roman" w:eastAsia="仿宋_GB2312" w:cs="Times New Roman"/>
          <w:kern w:val="0"/>
          <w:sz w:val="28"/>
          <w:szCs w:val="28"/>
          <w:lang w:val="en-US" w:eastAsia="zh-CN"/>
        </w:rPr>
        <w:t>。其中，项目决策、项目过程、项目产出、项目效益的得分率分别为80%、75.4%、84.7%、95%。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（一）检测费项目的主要经验及做法：</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w:t>
      </w:r>
      <w:r>
        <w:rPr>
          <w:rFonts w:hint="eastAsia" w:ascii="Times New Roman" w:hAnsi="Times New Roman" w:eastAsia="仿宋_GB2312" w:cs="Times New Roman"/>
          <w:kern w:val="0"/>
          <w:sz w:val="28"/>
          <w:szCs w:val="28"/>
          <w:lang w:val="en-US" w:eastAsia="zh-CN"/>
        </w:rPr>
        <w:t>构建闭环监管机制，提升食品质量安全水平；</w:t>
      </w:r>
    </w:p>
    <w:p>
      <w:pPr>
        <w:spacing w:line="560" w:lineRule="exact"/>
        <w:ind w:firstLine="560" w:firstLineChars="200"/>
        <w:rPr>
          <w:rFonts w:hint="eastAsia"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kern w:val="0"/>
          <w:sz w:val="28"/>
          <w:szCs w:val="28"/>
          <w:lang w:val="en-US" w:eastAsia="zh-CN"/>
        </w:rPr>
        <w:t>2.</w:t>
      </w:r>
      <w:r>
        <w:rPr>
          <w:rFonts w:hint="eastAsia" w:ascii="Times New Roman" w:hAnsi="Times New Roman" w:eastAsia="仿宋_GB2312" w:cs="Times New Roman"/>
          <w:kern w:val="0"/>
          <w:sz w:val="28"/>
          <w:szCs w:val="28"/>
          <w:lang w:val="en-US" w:eastAsia="zh-CN"/>
        </w:rPr>
        <w:t>购进数据管理系统，提升工作效率。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（二）2024年文登区检测费项目存在问题如下：</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w:t>
      </w:r>
      <w:r>
        <w:rPr>
          <w:rFonts w:hint="eastAsia" w:ascii="Times New Roman" w:hAnsi="Times New Roman" w:eastAsia="仿宋_GB2312" w:cs="Times New Roman"/>
          <w:kern w:val="0"/>
          <w:sz w:val="28"/>
          <w:szCs w:val="28"/>
          <w:lang w:val="en-US" w:eastAsia="zh-CN"/>
        </w:rPr>
        <w:t>检测批次目标设置不合理；</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2.</w:t>
      </w:r>
      <w:r>
        <w:rPr>
          <w:rFonts w:hint="eastAsia" w:ascii="Times New Roman" w:hAnsi="Times New Roman" w:eastAsia="仿宋_GB2312" w:cs="Times New Roman"/>
          <w:kern w:val="0"/>
          <w:sz w:val="28"/>
          <w:szCs w:val="28"/>
          <w:lang w:val="en-US" w:eastAsia="zh-CN"/>
        </w:rPr>
        <w:t>预算编制依据不合理，费用构成待优化；</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3.</w:t>
      </w:r>
      <w:r>
        <w:rPr>
          <w:rFonts w:hint="eastAsia" w:ascii="Times New Roman" w:hAnsi="Times New Roman" w:eastAsia="仿宋_GB2312" w:cs="Times New Roman"/>
          <w:kern w:val="0"/>
          <w:sz w:val="28"/>
          <w:szCs w:val="28"/>
          <w:lang w:val="en-US" w:eastAsia="zh-CN"/>
        </w:rPr>
        <w:t>外检成本高于省内平均水平；</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4.</w:t>
      </w:r>
      <w:r>
        <w:rPr>
          <w:rFonts w:hint="eastAsia" w:ascii="Times New Roman" w:hAnsi="Times New Roman" w:eastAsia="仿宋_GB2312" w:cs="Times New Roman"/>
          <w:kern w:val="0"/>
          <w:sz w:val="28"/>
          <w:szCs w:val="28"/>
          <w:lang w:val="en-US" w:eastAsia="zh-CN"/>
        </w:rPr>
        <w:t>检测批次统计数据不一致，台账管理有待完善；</w:t>
      </w:r>
    </w:p>
    <w:p>
      <w:pPr>
        <w:spacing w:line="560" w:lineRule="exact"/>
        <w:ind w:firstLine="560" w:firstLineChars="200"/>
        <w:rPr>
          <w:rFonts w:hint="eastAsia"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kern w:val="0"/>
          <w:sz w:val="28"/>
          <w:szCs w:val="28"/>
          <w:lang w:val="en-US" w:eastAsia="zh-CN"/>
        </w:rPr>
        <w:t>5.</w:t>
      </w:r>
      <w:r>
        <w:rPr>
          <w:rFonts w:hint="eastAsia" w:ascii="Times New Roman" w:hAnsi="Times New Roman" w:eastAsia="仿宋_GB2312" w:cs="Times New Roman"/>
          <w:kern w:val="0"/>
          <w:sz w:val="28"/>
          <w:szCs w:val="28"/>
          <w:lang w:val="en-US" w:eastAsia="zh-CN"/>
        </w:rPr>
        <w:t>检测区域分配不均衡。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（三）针对上述问题，我们提出下列建议，切实提升资金使用效益：</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w:t>
      </w:r>
      <w:r>
        <w:rPr>
          <w:rFonts w:hint="eastAsia" w:ascii="Times New Roman" w:hAnsi="Times New Roman" w:eastAsia="仿宋_GB2312" w:cs="Times New Roman"/>
          <w:kern w:val="0"/>
          <w:sz w:val="28"/>
          <w:szCs w:val="28"/>
          <w:lang w:val="en-US" w:eastAsia="zh-CN"/>
        </w:rPr>
        <w:t>剔除非必要检测项目，规范收费标准和差价控制；</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2.</w:t>
      </w:r>
      <w:r>
        <w:rPr>
          <w:rFonts w:hint="eastAsia" w:ascii="Times New Roman" w:hAnsi="Times New Roman" w:eastAsia="仿宋_GB2312" w:cs="Times New Roman"/>
          <w:kern w:val="0"/>
          <w:sz w:val="28"/>
          <w:szCs w:val="28"/>
          <w:lang w:val="en-US" w:eastAsia="zh-CN"/>
        </w:rPr>
        <w:t>更新检测目标编制依据，强化政策衔接与动态调整机制；</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3.</w:t>
      </w:r>
      <w:r>
        <w:rPr>
          <w:rFonts w:hint="eastAsia" w:ascii="Times New Roman" w:hAnsi="Times New Roman" w:eastAsia="仿宋_GB2312" w:cs="Times New Roman"/>
          <w:kern w:val="0"/>
          <w:sz w:val="28"/>
          <w:szCs w:val="28"/>
          <w:lang w:val="en-US" w:eastAsia="zh-CN"/>
        </w:rPr>
        <w:t>优化预算编制与成本核算；</w:t>
      </w:r>
    </w:p>
    <w:p>
      <w:pPr>
        <w:spacing w:line="560" w:lineRule="exact"/>
        <w:ind w:firstLine="560" w:firstLineChars="200"/>
        <w:rPr>
          <w:rFonts w:hint="eastAsia"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4.</w:t>
      </w:r>
      <w:r>
        <w:rPr>
          <w:rFonts w:hint="eastAsia" w:ascii="Times New Roman" w:hAnsi="Times New Roman" w:eastAsia="仿宋_GB2312" w:cs="Times New Roman"/>
          <w:kern w:val="0"/>
          <w:sz w:val="28"/>
          <w:szCs w:val="28"/>
          <w:lang w:val="en-US" w:eastAsia="zh-CN"/>
        </w:rPr>
        <w:t>充分利用实验室数据管理系统，加强台账管理；</w:t>
      </w:r>
    </w:p>
    <w:p>
      <w:pPr>
        <w:spacing w:line="560" w:lineRule="exact"/>
        <w:ind w:firstLine="560" w:firstLineChars="200"/>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kern w:val="0"/>
          <w:sz w:val="28"/>
          <w:szCs w:val="28"/>
          <w:lang w:val="en-US" w:eastAsia="zh-CN"/>
        </w:rPr>
        <w:t>5.</w:t>
      </w:r>
      <w:r>
        <w:rPr>
          <w:rFonts w:hint="eastAsia" w:ascii="Times New Roman" w:hAnsi="Times New Roman" w:eastAsia="仿宋_GB2312" w:cs="Times New Roman"/>
          <w:kern w:val="0"/>
          <w:sz w:val="28"/>
          <w:szCs w:val="28"/>
          <w:lang w:val="en-US" w:eastAsia="zh-CN"/>
        </w:rPr>
        <w:t>合理分配地区检测批次，保障各地区食品安全。</w:t>
      </w:r>
    </w:p>
    <w:bookmarkEnd w:id="16"/>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rPr>
          <w:rFonts w:ascii="仿宋" w:hAnsi="仿宋" w:eastAsia="仿宋" w:cs="仿宋"/>
          <w:b/>
          <w:bCs/>
          <w:sz w:val="40"/>
          <w:szCs w:val="40"/>
        </w:rPr>
      </w:pPr>
      <w:r>
        <w:rPr>
          <w:rFonts w:ascii="仿宋" w:hAnsi="仿宋" w:eastAsia="仿宋" w:cs="仿宋"/>
          <w:b/>
          <w:bCs/>
          <w:sz w:val="40"/>
          <w:szCs w:val="40"/>
        </w:rPr>
        <w:br w:type="page"/>
      </w: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2024年度威海市文登区</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智改数转诊断费项目</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绩效评价报告</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8"/>
          <w:szCs w:val="48"/>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8" w:type="first"/>
          <w:footerReference r:id="rId21" w:type="first"/>
          <w:headerReference r:id="rId16" w:type="default"/>
          <w:footerReference r:id="rId19" w:type="default"/>
          <w:headerReference r:id="rId17" w:type="even"/>
          <w:footerReference r:id="rId20" w:type="even"/>
          <w:pgSz w:w="11850" w:h="16783"/>
          <w:pgMar w:top="1440" w:right="1440" w:bottom="1440" w:left="1440" w:header="737" w:footer="1077" w:gutter="0"/>
          <w:pgNumType w:fmt="decimal"/>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 xml:space="preserve">5 </w:t>
      </w:r>
      <w:r>
        <w:rPr>
          <w:rFonts w:hint="eastAsia" w:ascii="仿宋" w:hAnsi="仿宋" w:eastAsia="仿宋" w:cs="仿宋"/>
          <w:b/>
          <w:bCs/>
          <w:sz w:val="32"/>
          <w:szCs w:val="24"/>
        </w:rPr>
        <w:t xml:space="preserve">年 </w:t>
      </w:r>
      <w:r>
        <w:rPr>
          <w:rFonts w:hint="eastAsia" w:ascii="仿宋" w:hAnsi="仿宋" w:eastAsia="仿宋" w:cs="仿宋"/>
          <w:b/>
          <w:bCs/>
          <w:sz w:val="32"/>
          <w:szCs w:val="24"/>
          <w:lang w:val="en-US" w:eastAsia="zh-CN"/>
        </w:rPr>
        <w:t>8</w:t>
      </w:r>
      <w:r>
        <w:rPr>
          <w:rFonts w:hint="eastAsia" w:ascii="仿宋" w:hAnsi="仿宋" w:eastAsia="仿宋" w:cs="仿宋"/>
          <w:b/>
          <w:bCs/>
          <w:sz w:val="32"/>
          <w:szCs w:val="24"/>
        </w:rPr>
        <w:t xml:space="preserve"> 月</w:t>
      </w:r>
    </w:p>
    <w:p>
      <w:pPr>
        <w:pStyle w:val="56"/>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highlight w:val="green"/>
          <w:lang w:val="en-US" w:eastAsia="zh-CN"/>
        </w:rPr>
      </w:pPr>
      <w:bookmarkStart w:id="48" w:name="_Toc141515719"/>
      <w:r>
        <w:rPr>
          <w:rFonts w:hint="eastAsia" w:ascii="Times New Roman" w:hAnsi="Times New Roman" w:eastAsia="仿宋_GB2312" w:cs="Times New Roman"/>
          <w:color w:val="auto"/>
          <w:kern w:val="0"/>
          <w:sz w:val="32"/>
          <w:szCs w:val="32"/>
          <w:shd w:val="clear" w:color="auto" w:fill="FFFFFF"/>
          <w:lang w:val="en-US" w:eastAsia="zh-CN" w:bidi="ar-SA"/>
        </w:rPr>
        <w:t>根据《项目支出绩效评价管理办法》（财预〔2020〕10 号）、《威海市市级财政政策和项目支出绩效评价管理办法》（威财绩〔2020〕6号）等有关文件规定，为完善预算绩效管理，强化支出责任，提高财政资金使用效益，威海市文登区财政局委托北京佳益工程咨询有限公司对威海市文登区工业和信息化局实施的智改数转诊断费项目开展财政重点绩效评价工作。</w:t>
      </w:r>
    </w:p>
    <w:p>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Cs w:val="0"/>
          <w:color w:val="auto"/>
          <w:kern w:val="2"/>
          <w:sz w:val="32"/>
          <w:szCs w:val="32"/>
          <w:lang w:val="en-US" w:eastAsia="zh-CN" w:bidi="ar-SA"/>
        </w:rPr>
      </w:pPr>
      <w:bookmarkStart w:id="49" w:name="_Toc30666"/>
      <w:bookmarkStart w:id="50" w:name="_Toc10120"/>
      <w:bookmarkStart w:id="51" w:name="_Toc29949"/>
      <w:bookmarkStart w:id="52" w:name="_Toc11783"/>
      <w:bookmarkStart w:id="53" w:name="_Toc7336"/>
      <w:bookmarkStart w:id="54" w:name="_Toc12761"/>
      <w:bookmarkStart w:id="55" w:name="_Toc19186"/>
      <w:bookmarkStart w:id="56" w:name="_Toc9386"/>
      <w:bookmarkStart w:id="57" w:name="_Toc26201"/>
      <w:r>
        <w:rPr>
          <w:rFonts w:hint="eastAsia" w:ascii="黑体" w:hAnsi="黑体" w:eastAsia="黑体" w:cs="黑体"/>
          <w:lang w:val="en-US" w:eastAsia="zh-CN"/>
        </w:rPr>
        <w:t>一、基本情况</w:t>
      </w:r>
      <w:bookmarkEnd w:id="49"/>
      <w:bookmarkEnd w:id="50"/>
      <w:bookmarkEnd w:id="51"/>
      <w:bookmarkEnd w:id="52"/>
      <w:bookmarkEnd w:id="53"/>
      <w:bookmarkEnd w:id="54"/>
      <w:bookmarkEnd w:id="55"/>
      <w:bookmarkEnd w:id="56"/>
      <w:bookmarkEnd w:id="57"/>
    </w:p>
    <w:p>
      <w:pPr>
        <w:pStyle w:val="5"/>
        <w:pageBreakBefore w:val="0"/>
        <w:widowControl w:val="0"/>
        <w:numPr>
          <w:ilvl w:val="2"/>
          <w:numId w:val="0"/>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color w:val="auto"/>
          <w:kern w:val="2"/>
          <w:sz w:val="32"/>
          <w:szCs w:val="32"/>
          <w:lang w:val="en-US" w:eastAsia="zh-CN" w:bidi="ar-SA"/>
        </w:rPr>
      </w:pPr>
      <w:bookmarkStart w:id="58" w:name="_Toc18442"/>
      <w:bookmarkStart w:id="59" w:name="_Toc28579"/>
      <w:bookmarkStart w:id="60" w:name="_Toc9006"/>
      <w:bookmarkStart w:id="61" w:name="_Toc22198"/>
      <w:bookmarkStart w:id="62" w:name="_Toc2712"/>
      <w:bookmarkStart w:id="63" w:name="_Toc3258"/>
      <w:r>
        <w:rPr>
          <w:rFonts w:hint="eastAsia" w:ascii="楷体_GB2312" w:hAnsi="楷体_GB2312" w:eastAsia="楷体_GB2312" w:cs="楷体_GB2312"/>
          <w:color w:val="auto"/>
          <w:kern w:val="2"/>
          <w:sz w:val="32"/>
          <w:szCs w:val="32"/>
          <w:lang w:val="en-US" w:eastAsia="zh-CN" w:bidi="ar-SA"/>
        </w:rPr>
        <w:t>（一）项目设立目的</w:t>
      </w:r>
      <w:bookmarkEnd w:id="58"/>
      <w:bookmarkEnd w:id="59"/>
      <w:bookmarkEnd w:id="60"/>
      <w:bookmarkEnd w:id="61"/>
      <w:bookmarkEnd w:id="62"/>
      <w:bookmarkEnd w:id="63"/>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威海市文登区工业和信息化局根据部门职责，为全面贯彻党的二十大精神及制造强国重要论述，深入落实山东省数字经济高质量发展工作会议精神，聚焦智能制造主攻方向，通过组织开展“智改数转”诊断服务，分批次、分行业为企业提供个性化诊断方案，推动数字技术与实体经济深度融合，加快制造业智能化改造和数字化转型，全面提升产业基础高级化、产业链现代化和产业结构优化水平，加速工业振兴，确保工业倍增目标实现，至2025年底，实现全区规模以上工业企业诊断服务全覆盖，累计实施“智改数转”项目120个。</w:t>
      </w:r>
    </w:p>
    <w:p>
      <w:pPr>
        <w:pStyle w:val="5"/>
        <w:pageBreakBefore w:val="0"/>
        <w:widowControl w:val="0"/>
        <w:numPr>
          <w:ilvl w:val="0"/>
          <w:numId w:val="0"/>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color w:val="auto"/>
          <w:kern w:val="2"/>
          <w:sz w:val="32"/>
          <w:szCs w:val="32"/>
          <w:lang w:val="en-US" w:eastAsia="zh-CN" w:bidi="ar-SA"/>
        </w:rPr>
      </w:pPr>
      <w:bookmarkStart w:id="64" w:name="_Toc4776"/>
      <w:bookmarkStart w:id="65" w:name="_Toc13892"/>
      <w:bookmarkStart w:id="66" w:name="_Toc17543"/>
      <w:bookmarkStart w:id="67" w:name="_Toc22653"/>
      <w:bookmarkStart w:id="68" w:name="_Toc16832"/>
      <w:bookmarkStart w:id="69" w:name="_Toc28673"/>
      <w:bookmarkStart w:id="70" w:name="_Toc17531"/>
      <w:r>
        <w:rPr>
          <w:rFonts w:hint="eastAsia" w:ascii="楷体_GB2312" w:hAnsi="楷体_GB2312" w:eastAsia="楷体_GB2312" w:cs="楷体_GB2312"/>
          <w:color w:val="auto"/>
          <w:kern w:val="2"/>
          <w:sz w:val="32"/>
          <w:szCs w:val="32"/>
          <w:lang w:val="en-US" w:eastAsia="zh-CN" w:bidi="ar-SA"/>
        </w:rPr>
        <w:t>（二）项目实施情况</w:t>
      </w:r>
      <w:bookmarkEnd w:id="64"/>
      <w:bookmarkEnd w:id="65"/>
      <w:bookmarkEnd w:id="66"/>
      <w:bookmarkEnd w:id="67"/>
      <w:bookmarkEnd w:id="68"/>
      <w:bookmarkEnd w:id="69"/>
      <w:bookmarkEnd w:id="70"/>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2023年，项目单位与镇街开展智改数转诊断企业确定工作，通过招投标8个标段确定8个服务供应商为50家企业开展智改数转诊断服务，实际诊断合同内企业48家，有2家不能开展诊断企业后期进行了调整增补，实际完成了50家企业诊断服务。供应商完成智改数转诊断服务后，项目单位区工信局、被诊断企业、各镇街、开发区对各企业的诊断服务质量进行了考评，2023年有17家被诊断企业实施了智能化改造项目23个，实施智改数转企业数量占比34%。</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color w:val="auto"/>
          <w:sz w:val="32"/>
          <w:szCs w:val="32"/>
          <w:lang w:val="en-US" w:eastAsia="zh-CN"/>
        </w:rPr>
      </w:pPr>
      <w:r>
        <w:rPr>
          <w:rFonts w:hint="eastAsia" w:ascii="Times New Roman" w:hAnsi="Times New Roman" w:eastAsia="仿宋_GB2312" w:cs="Times New Roman"/>
          <w:color w:val="auto"/>
          <w:kern w:val="0"/>
          <w:sz w:val="32"/>
          <w:szCs w:val="32"/>
          <w:shd w:val="clear" w:color="auto" w:fill="FFFFFF"/>
          <w:lang w:val="en-US" w:eastAsia="zh-CN" w:bidi="ar-SA"/>
        </w:rPr>
        <w:t>2024年，项目单位与镇街开展智改数转诊断企业确定工作，通过招投标10个标段确定5个服务供应商（各中2个标段）为80家企业开展智改数转诊断服务，实际诊断企业76家，合同内企业65家，后期调整11家。截至绩效评价期，项目单位未开展对各企业的诊断服务质量考评工作。2024年有25家被诊断企业实施了智能化改造项目36个，实施智改数转企业数量占比33%。</w:t>
      </w:r>
    </w:p>
    <w:p>
      <w:pPr>
        <w:pStyle w:val="5"/>
        <w:keepNext/>
        <w:keepLines/>
        <w:pageBreakBefore w:val="0"/>
        <w:widowControl w:val="0"/>
        <w:numPr>
          <w:ilvl w:val="2"/>
          <w:numId w:val="0"/>
        </w:numPr>
        <w:kinsoku/>
        <w:wordWrap/>
        <w:overflowPunct/>
        <w:topLinePunct w:val="0"/>
        <w:autoSpaceDE/>
        <w:autoSpaceDN/>
        <w:bidi w:val="0"/>
        <w:adjustRightInd/>
        <w:snapToGrid/>
        <w:spacing w:line="560" w:lineRule="exact"/>
        <w:ind w:left="0" w:leftChars="0" w:firstLine="420" w:firstLineChars="0"/>
        <w:textAlignment w:val="auto"/>
        <w:rPr>
          <w:rFonts w:hint="eastAsia"/>
          <w:color w:val="auto"/>
          <w:lang w:val="en-US" w:eastAsia="zh-CN"/>
        </w:rPr>
      </w:pPr>
      <w:bookmarkStart w:id="71" w:name="_Toc657"/>
      <w:bookmarkStart w:id="72" w:name="_Toc2102"/>
      <w:bookmarkStart w:id="73" w:name="_Toc27767"/>
      <w:bookmarkStart w:id="74" w:name="_Toc17642"/>
      <w:bookmarkStart w:id="75" w:name="_Toc3886"/>
      <w:bookmarkStart w:id="76" w:name="_Toc1346"/>
      <w:bookmarkStart w:id="77" w:name="_Toc8514"/>
      <w:r>
        <w:rPr>
          <w:rFonts w:hint="eastAsia" w:ascii="楷体_GB2312" w:hAnsi="楷体_GB2312" w:eastAsia="楷体_GB2312" w:cs="楷体_GB2312"/>
          <w:color w:val="auto"/>
          <w:kern w:val="2"/>
          <w:sz w:val="32"/>
          <w:szCs w:val="32"/>
          <w:lang w:val="en-US" w:eastAsia="zh-CN" w:bidi="ar-SA"/>
        </w:rPr>
        <w:t>（三）资金投入和使用情况</w:t>
      </w:r>
      <w:bookmarkEnd w:id="71"/>
      <w:bookmarkEnd w:id="72"/>
      <w:bookmarkEnd w:id="73"/>
      <w:bookmarkEnd w:id="74"/>
      <w:bookmarkEnd w:id="75"/>
      <w:bookmarkEnd w:id="76"/>
      <w:bookmarkEnd w:id="77"/>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2023年智改数转诊断费预算资金为220万元</w:t>
      </w:r>
      <w:r>
        <w:rPr>
          <w:rFonts w:hint="default" w:ascii="Times New Roman" w:hAnsi="Times New Roman" w:eastAsia="仿宋_GB2312" w:cs="Times New Roman"/>
          <w:color w:val="auto"/>
          <w:kern w:val="0"/>
          <w:sz w:val="32"/>
          <w:szCs w:val="32"/>
          <w:shd w:val="clear" w:color="auto" w:fill="FFFFFF"/>
          <w:lang w:val="en-US" w:eastAsia="zh-CN" w:bidi="ar-SA"/>
        </w:rPr>
        <w:t>，实际</w:t>
      </w:r>
      <w:r>
        <w:rPr>
          <w:rFonts w:hint="eastAsia" w:ascii="Times New Roman" w:hAnsi="Times New Roman" w:eastAsia="仿宋_GB2312" w:cs="Times New Roman"/>
          <w:color w:val="auto"/>
          <w:kern w:val="0"/>
          <w:sz w:val="32"/>
          <w:szCs w:val="32"/>
          <w:shd w:val="clear" w:color="auto" w:fill="FFFFFF"/>
          <w:lang w:val="en-US" w:eastAsia="zh-CN" w:bidi="ar-SA"/>
        </w:rPr>
        <w:t>智改数转诊断费合同金额221.818</w:t>
      </w:r>
      <w:r>
        <w:rPr>
          <w:rFonts w:hint="default" w:ascii="Times New Roman" w:hAnsi="Times New Roman" w:eastAsia="仿宋_GB2312" w:cs="Times New Roman"/>
          <w:color w:val="auto"/>
          <w:kern w:val="0"/>
          <w:sz w:val="32"/>
          <w:szCs w:val="32"/>
          <w:shd w:val="clear" w:color="auto" w:fill="FFFFFF"/>
          <w:lang w:val="en-US" w:eastAsia="zh-CN" w:bidi="ar-SA"/>
        </w:rPr>
        <w:t>万</w:t>
      </w:r>
      <w:r>
        <w:rPr>
          <w:rFonts w:hint="eastAsia" w:ascii="Times New Roman" w:hAnsi="Times New Roman" w:eastAsia="仿宋_GB2312" w:cs="Times New Roman"/>
          <w:color w:val="auto"/>
          <w:kern w:val="0"/>
          <w:sz w:val="32"/>
          <w:szCs w:val="32"/>
          <w:shd w:val="clear" w:color="auto" w:fill="FFFFFF"/>
          <w:lang w:val="en-US" w:eastAsia="zh-CN" w:bidi="ar-SA"/>
        </w:rPr>
        <w:t>元，实际支付智改数转诊断服务费0元。</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2024年智改数转诊断费预算资金为200万元</w:t>
      </w:r>
      <w:r>
        <w:rPr>
          <w:rFonts w:hint="default" w:ascii="Times New Roman" w:hAnsi="Times New Roman" w:eastAsia="仿宋_GB2312" w:cs="Times New Roman"/>
          <w:color w:val="auto"/>
          <w:kern w:val="0"/>
          <w:sz w:val="32"/>
          <w:szCs w:val="32"/>
          <w:shd w:val="clear" w:color="auto" w:fill="FFFFFF"/>
          <w:lang w:val="en-US" w:eastAsia="zh-CN" w:bidi="ar-SA"/>
        </w:rPr>
        <w:t>，实际</w:t>
      </w:r>
      <w:r>
        <w:rPr>
          <w:rFonts w:hint="eastAsia" w:ascii="Times New Roman" w:hAnsi="Times New Roman" w:eastAsia="仿宋_GB2312" w:cs="Times New Roman"/>
          <w:color w:val="auto"/>
          <w:kern w:val="0"/>
          <w:sz w:val="32"/>
          <w:szCs w:val="32"/>
          <w:shd w:val="clear" w:color="auto" w:fill="FFFFFF"/>
          <w:lang w:val="en-US" w:eastAsia="zh-CN" w:bidi="ar-SA"/>
        </w:rPr>
        <w:t>智改数转诊断费合同金额169.76</w:t>
      </w:r>
      <w:r>
        <w:rPr>
          <w:rFonts w:hint="default" w:ascii="Times New Roman" w:hAnsi="Times New Roman" w:eastAsia="仿宋_GB2312" w:cs="Times New Roman"/>
          <w:color w:val="auto"/>
          <w:kern w:val="0"/>
          <w:sz w:val="32"/>
          <w:szCs w:val="32"/>
          <w:shd w:val="clear" w:color="auto" w:fill="FFFFFF"/>
          <w:lang w:val="en-US" w:eastAsia="zh-CN" w:bidi="ar-SA"/>
        </w:rPr>
        <w:t>万</w:t>
      </w:r>
      <w:r>
        <w:rPr>
          <w:rFonts w:hint="eastAsia" w:ascii="Times New Roman" w:hAnsi="Times New Roman" w:eastAsia="仿宋_GB2312" w:cs="Times New Roman"/>
          <w:color w:val="auto"/>
          <w:kern w:val="0"/>
          <w:sz w:val="32"/>
          <w:szCs w:val="32"/>
          <w:shd w:val="clear" w:color="auto" w:fill="FFFFFF"/>
          <w:lang w:val="en-US" w:eastAsia="zh-CN" w:bidi="ar-SA"/>
        </w:rPr>
        <w:t>元，实际支付智改数转诊断服务费0元。</w:t>
      </w:r>
    </w:p>
    <w:p>
      <w:pPr>
        <w:pStyle w:val="5"/>
        <w:pageBreakBefore w:val="0"/>
        <w:widowControl w:val="0"/>
        <w:numPr>
          <w:ilvl w:val="0"/>
          <w:numId w:val="0"/>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color w:val="auto"/>
          <w:kern w:val="2"/>
          <w:sz w:val="32"/>
          <w:szCs w:val="32"/>
          <w:lang w:val="en-US" w:eastAsia="zh-CN" w:bidi="ar-SA"/>
        </w:rPr>
      </w:pPr>
      <w:bookmarkStart w:id="78" w:name="_Toc8206"/>
      <w:bookmarkStart w:id="79" w:name="_Toc10350"/>
      <w:bookmarkStart w:id="80" w:name="_Toc15371"/>
      <w:bookmarkStart w:id="81" w:name="_Toc31976"/>
      <w:bookmarkStart w:id="82" w:name="_Toc17559"/>
      <w:bookmarkStart w:id="83" w:name="_Toc2819"/>
      <w:bookmarkStart w:id="84" w:name="_Toc22735"/>
      <w:r>
        <w:rPr>
          <w:rFonts w:hint="eastAsia" w:ascii="楷体_GB2312" w:hAnsi="楷体_GB2312" w:eastAsia="楷体_GB2312" w:cs="楷体_GB2312"/>
          <w:color w:val="auto"/>
          <w:kern w:val="2"/>
          <w:sz w:val="32"/>
          <w:szCs w:val="32"/>
          <w:lang w:val="en-US" w:eastAsia="zh-CN" w:bidi="ar-SA"/>
        </w:rPr>
        <w:t>（四）取得的主要成效</w:t>
      </w:r>
      <w:bookmarkEnd w:id="78"/>
      <w:bookmarkEnd w:id="79"/>
      <w:bookmarkEnd w:id="80"/>
      <w:bookmarkEnd w:id="81"/>
      <w:bookmarkEnd w:id="82"/>
      <w:bookmarkEnd w:id="83"/>
      <w:bookmarkEnd w:id="84"/>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项目实施单位聚焦企业智能化改造需求与经济下行压力的矛盾，在全省率先启动县级规上工业企业“智改数转”专项行动，以信息技术与制造业融合为主线，通过组织专题活动和实地观摩破除企业认知误区，提升企业转型主动性；平台认定成果显著，2023-2024年智能工厂、数字化车间及智能制造场景认定数量连续两年居全市首位。</w:t>
      </w:r>
    </w:p>
    <w:p>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0" w:firstLineChars="200"/>
        <w:textAlignment w:val="auto"/>
        <w:rPr>
          <w:rFonts w:hint="default" w:ascii="宋体" w:hAnsi="宋体" w:eastAsia="黑体" w:cs="黑体"/>
          <w:b w:val="0"/>
          <w:bCs/>
          <w:color w:val="auto"/>
          <w:sz w:val="32"/>
          <w:szCs w:val="32"/>
          <w:lang w:val="en-US" w:eastAsia="zh-CN"/>
        </w:rPr>
      </w:pPr>
      <w:bookmarkStart w:id="85" w:name="_Toc12708"/>
      <w:bookmarkStart w:id="86" w:name="_Toc21180"/>
      <w:bookmarkStart w:id="87" w:name="_Toc1385"/>
      <w:bookmarkStart w:id="88" w:name="_Toc2677"/>
      <w:bookmarkStart w:id="89" w:name="_Toc17424"/>
      <w:bookmarkStart w:id="90" w:name="_Toc19672"/>
      <w:bookmarkStart w:id="91" w:name="_Toc19895"/>
      <w:bookmarkStart w:id="92" w:name="_Toc17306"/>
      <w:bookmarkStart w:id="93" w:name="_Toc2303"/>
      <w:bookmarkStart w:id="94" w:name="_Toc22218"/>
      <w:bookmarkStart w:id="95" w:name="_Toc4230"/>
      <w:bookmarkStart w:id="96" w:name="_Toc5198"/>
      <w:bookmarkStart w:id="97" w:name="_Toc32499"/>
      <w:bookmarkStart w:id="98" w:name="_Toc21403"/>
      <w:bookmarkStart w:id="99" w:name="_Toc32102"/>
      <w:r>
        <w:rPr>
          <w:rFonts w:hint="eastAsia" w:ascii="宋体" w:hAnsi="宋体" w:eastAsia="黑体" w:cs="黑体"/>
          <w:b w:val="0"/>
          <w:bCs/>
          <w:color w:val="auto"/>
          <w:sz w:val="32"/>
          <w:szCs w:val="32"/>
          <w:lang w:val="en-US" w:eastAsia="zh-CN"/>
        </w:rPr>
        <w:t>二、</w:t>
      </w:r>
      <w:r>
        <w:rPr>
          <w:rFonts w:hint="default" w:ascii="宋体" w:hAnsi="宋体" w:eastAsia="黑体" w:cs="黑体"/>
          <w:b w:val="0"/>
          <w:bCs/>
          <w:color w:val="auto"/>
          <w:sz w:val="32"/>
          <w:szCs w:val="32"/>
          <w:lang w:val="en-US" w:eastAsia="zh-CN"/>
        </w:rPr>
        <w:t>绩效评价结论</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根据项目绩效评价指标体系对智改数转诊断费项目各项指标进行评价，通过综合评价客观分析，本项目绩效评价最终综合评分结果为：总分80.25分，综合绩效评价等级为“良”。项目综合绩效评价得分情况见下表：</w:t>
      </w:r>
    </w:p>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宋体" w:hAnsi="宋体" w:eastAsia="仿宋_GB2312" w:cs="仿宋_GB2312"/>
          <w:b/>
          <w:bCs/>
          <w:i w:val="0"/>
          <w:iCs w:val="0"/>
          <w:color w:val="auto"/>
          <w:kern w:val="0"/>
          <w:sz w:val="32"/>
          <w:szCs w:val="32"/>
          <w:u w:val="none"/>
          <w:lang w:val="en-US" w:eastAsia="zh-CN" w:bidi="ar"/>
        </w:rPr>
      </w:pPr>
      <w:r>
        <w:rPr>
          <w:rFonts w:hint="eastAsia" w:ascii="宋体" w:hAnsi="宋体" w:cs="仿宋_GB2312"/>
          <w:b/>
          <w:bCs/>
          <w:i w:val="0"/>
          <w:iCs w:val="0"/>
          <w:color w:val="auto"/>
          <w:kern w:val="0"/>
          <w:sz w:val="32"/>
          <w:szCs w:val="32"/>
          <w:u w:val="none"/>
          <w:lang w:val="en-US" w:eastAsia="zh-CN" w:bidi="ar"/>
        </w:rPr>
        <w:t>项目</w:t>
      </w:r>
      <w:r>
        <w:rPr>
          <w:rFonts w:hint="eastAsia" w:ascii="宋体" w:hAnsi="宋体" w:eastAsia="仿宋_GB2312" w:cs="仿宋_GB2312"/>
          <w:b/>
          <w:bCs/>
          <w:i w:val="0"/>
          <w:iCs w:val="0"/>
          <w:color w:val="auto"/>
          <w:kern w:val="0"/>
          <w:sz w:val="32"/>
          <w:szCs w:val="32"/>
          <w:u w:val="none"/>
          <w:lang w:val="en-US" w:eastAsia="zh-CN" w:bidi="ar"/>
        </w:rPr>
        <w:t>综合绩效评价得分情况表</w:t>
      </w:r>
    </w:p>
    <w:tbl>
      <w:tblPr>
        <w:tblStyle w:val="19"/>
        <w:tblW w:w="89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6"/>
        <w:gridCol w:w="2484"/>
        <w:gridCol w:w="2604"/>
        <w:gridCol w:w="21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bCs/>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评价指标</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bCs/>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权重（%）</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bCs/>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评价得分</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bCs/>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评价分值占比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项目决策</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11.67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77.80%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项目过程</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12.00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项目产出</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40 </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27.41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68.51%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项目效益</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29.17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97.23%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b/>
                <w:bCs/>
                <w:i w:val="0"/>
                <w:iCs w:val="0"/>
                <w:color w:val="auto"/>
                <w:kern w:val="0"/>
                <w:sz w:val="22"/>
                <w:szCs w:val="22"/>
                <w:u w:val="none"/>
                <w:lang w:val="en-US" w:eastAsia="zh-CN" w:bidi="ar"/>
              </w:rPr>
              <w:t>综合绩效</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100 </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default"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80.25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80.25%</w:t>
            </w:r>
          </w:p>
        </w:tc>
      </w:tr>
    </w:tbl>
    <w:p>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0" w:firstLineChars="200"/>
        <w:textAlignment w:val="auto"/>
        <w:rPr>
          <w:rFonts w:hint="eastAsia" w:ascii="黑体" w:hAnsi="黑体" w:eastAsia="黑体" w:cs="黑体"/>
          <w:lang w:val="en-US" w:eastAsia="zh-CN"/>
        </w:rPr>
      </w:pPr>
      <w:bookmarkStart w:id="100" w:name="_Toc27633"/>
      <w:bookmarkStart w:id="101" w:name="_Toc21870"/>
      <w:bookmarkStart w:id="102" w:name="_Toc22108"/>
      <w:bookmarkStart w:id="103" w:name="_Toc7431"/>
      <w:bookmarkStart w:id="104" w:name="_Toc15377"/>
      <w:bookmarkStart w:id="105" w:name="_Toc6248"/>
      <w:bookmarkStart w:id="106" w:name="_Toc21455"/>
      <w:bookmarkStart w:id="107" w:name="_Toc15191"/>
      <w:bookmarkStart w:id="108" w:name="_Toc23232"/>
      <w:bookmarkStart w:id="109" w:name="_Toc7816"/>
      <w:bookmarkStart w:id="110" w:name="_Toc16470"/>
      <w:bookmarkStart w:id="111" w:name="_Toc6952"/>
      <w:bookmarkStart w:id="112" w:name="_Toc8079"/>
      <w:bookmarkStart w:id="113" w:name="_Toc25561"/>
      <w:bookmarkStart w:id="114" w:name="_Toc5140"/>
      <w:bookmarkStart w:id="115" w:name="_Toc5291"/>
      <w:bookmarkStart w:id="116" w:name="_Toc13351"/>
      <w:bookmarkStart w:id="117" w:name="_Toc26252"/>
      <w:r>
        <w:rPr>
          <w:rFonts w:hint="eastAsia" w:ascii="黑体" w:hAnsi="黑体" w:eastAsia="黑体" w:cs="黑体"/>
          <w:lang w:val="en-US" w:eastAsia="zh-CN"/>
        </w:rPr>
        <w:t>三、存在的主要问题及原因分析</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Start w:id="118" w:name="_Toc20998"/>
      <w:bookmarkStart w:id="119" w:name="_Toc11425"/>
      <w:bookmarkStart w:id="120" w:name="_Toc31769"/>
      <w:bookmarkStart w:id="121" w:name="_Toc31058"/>
      <w:bookmarkStart w:id="122" w:name="_Toc4796"/>
      <w:bookmarkStart w:id="123" w:name="_Toc19527"/>
      <w:bookmarkStart w:id="124" w:name="_Toc26825"/>
      <w:bookmarkStart w:id="125" w:name="_Toc9658"/>
      <w:bookmarkStart w:id="126" w:name="_Toc29273"/>
      <w:bookmarkStart w:id="127" w:name="_Toc3792"/>
      <w:bookmarkStart w:id="128" w:name="_Toc23513"/>
      <w:bookmarkStart w:id="129" w:name="_Toc28259"/>
      <w:bookmarkStart w:id="130" w:name="_Toc733"/>
    </w:p>
    <w:p>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0" w:firstLineChars="200"/>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（一）绩效目标设置存在缺陷，绩效管理工作重视不足。</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绩效工作组通过查阅威海市文登区工业和信息化局2024年度部门公开预算，部门预算公开信息中“智改数转”诊断费项目支出绩效目标表分别设置了2023年和2024年二个年度绩效指标，其中，经济成本指标2023年第一批每家企业智改数转诊断平均费用设定为27500元、数量指标设定为80家。而2023年度第一批企业智改数转诊断费实际平均费用44000元、实际诊断企业数量为50家，绩效目标设置与实际存在明显错误。项目单位对绩效管理工作重视不足，影响绩效监控与绩效评价工作的有效开展，绩效管理工作亟待加强。</w:t>
      </w: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3" w:firstLineChars="200"/>
        <w:textAlignment w:val="auto"/>
        <w:rPr>
          <w:rFonts w:hint="eastAsia"/>
          <w:lang w:val="en-US" w:eastAsia="zh-CN"/>
        </w:rPr>
      </w:pPr>
      <w:r>
        <w:rPr>
          <w:rFonts w:hint="eastAsia" w:ascii="楷体_GB2312" w:hAnsi="楷体_GB2312" w:eastAsia="楷体_GB2312" w:cs="楷体_GB2312"/>
          <w:color w:val="auto"/>
          <w:kern w:val="2"/>
          <w:sz w:val="32"/>
          <w:szCs w:val="32"/>
          <w:lang w:val="en-US" w:eastAsia="zh-CN" w:bidi="ar-SA"/>
        </w:rPr>
        <w:t>（二）部分智改数转诊断方案存在针对性不足、报告模板化严重的问题。</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部分</w:t>
      </w:r>
      <w:r>
        <w:rPr>
          <w:rFonts w:hint="eastAsia" w:ascii="Times New Roman" w:hAnsi="Times New Roman" w:eastAsia="仿宋_GB2312" w:cs="Times New Roman"/>
          <w:color w:val="auto"/>
          <w:kern w:val="0"/>
          <w:sz w:val="32"/>
          <w:szCs w:val="32"/>
          <w:shd w:val="clear" w:color="auto" w:fill="FFFFFF"/>
          <w:lang w:val="en-US" w:eastAsia="zh" w:bidi="ar-SA"/>
        </w:rPr>
        <w:t>企业的诊断报告中部分内容高度相似甚至完全相同</w:t>
      </w:r>
      <w:r>
        <w:rPr>
          <w:rFonts w:hint="eastAsia" w:ascii="Times New Roman" w:hAnsi="Times New Roman" w:eastAsia="仿宋_GB2312" w:cs="Times New Roman"/>
          <w:color w:val="auto"/>
          <w:kern w:val="0"/>
          <w:sz w:val="32"/>
          <w:szCs w:val="32"/>
          <w:shd w:val="clear" w:color="auto" w:fill="FFFFFF"/>
          <w:lang w:val="en-US" w:eastAsia="zh-CN" w:bidi="ar-SA"/>
        </w:rPr>
        <w:t>，如2024年中国移动通信集团山东有限公司对被诊断企业出具的报告中</w:t>
      </w:r>
      <w:r>
        <w:rPr>
          <w:rFonts w:hint="eastAsia" w:ascii="Times New Roman" w:hAnsi="Times New Roman" w:eastAsia="仿宋_GB2312" w:cs="Times New Roman"/>
          <w:color w:val="auto"/>
          <w:kern w:val="0"/>
          <w:sz w:val="32"/>
          <w:szCs w:val="32"/>
          <w:shd w:val="clear" w:color="auto" w:fill="FFFFFF"/>
          <w:lang w:val="en-US" w:eastAsia="zh" w:bidi="ar-SA"/>
        </w:rPr>
        <w:t>关于“</w:t>
      </w:r>
      <w:r>
        <w:rPr>
          <w:rFonts w:hint="eastAsia" w:ascii="Times New Roman" w:hAnsi="Times New Roman" w:eastAsia="仿宋_GB2312" w:cs="Times New Roman"/>
          <w:color w:val="auto"/>
          <w:kern w:val="0"/>
          <w:sz w:val="32"/>
          <w:szCs w:val="32"/>
          <w:shd w:val="clear" w:color="auto" w:fill="FFFFFF"/>
          <w:lang w:val="en-US" w:eastAsia="zh-CN" w:bidi="ar-SA"/>
        </w:rPr>
        <w:t>智能技术改造建议”“实施智能化技术改造项目概算</w:t>
      </w:r>
      <w:r>
        <w:rPr>
          <w:rFonts w:hint="eastAsia" w:ascii="Times New Roman" w:hAnsi="Times New Roman" w:eastAsia="仿宋_GB2312" w:cs="Times New Roman"/>
          <w:color w:val="auto"/>
          <w:kern w:val="0"/>
          <w:sz w:val="32"/>
          <w:szCs w:val="32"/>
          <w:shd w:val="clear" w:color="auto" w:fill="FFFFFF"/>
          <w:lang w:val="en-US" w:eastAsia="zh" w:bidi="ar-SA"/>
        </w:rPr>
        <w:t>”等</w:t>
      </w:r>
      <w:r>
        <w:rPr>
          <w:rFonts w:hint="eastAsia" w:ascii="Times New Roman" w:hAnsi="Times New Roman" w:eastAsia="仿宋_GB2312" w:cs="Times New Roman"/>
          <w:color w:val="auto"/>
          <w:kern w:val="0"/>
          <w:sz w:val="32"/>
          <w:szCs w:val="32"/>
          <w:shd w:val="clear" w:color="auto" w:fill="FFFFFF"/>
          <w:lang w:val="en-US" w:eastAsia="zh-CN" w:bidi="ar-SA"/>
        </w:rPr>
        <w:t>内容高度相似，例如“供应链协同智能化，建立供应链协同平台，实现与供应商、分销商的信息共享和即时通讯，提高供应链的整体反应速度和透明度。推广EDI技术，简化交易流程，提高响应速度；利用云计算服务，确保合作伙伴能够实时访问最新的库存、订单和物流信息。引入供应链风险管理系统，通过数据分析预测潜在风险，提前制定应对策略，保障供应链稳定”等在多数报告内容均相同。被诊断的16个企业涉及机械制造、家纺、汽车线束、渔具、汽车内饰、塑料制品、食品添加剂、建材、保健食品、机电设备、房车、再生资源、电子信息等不同行业，其生产流程、供应链、核心痛点应会存在明显行业差异，但诊断建议却高度趋同。报告还存在威海卓恒网络科技有限责任公司出具的文登创业水务有限公司诊断报告合同价格为3.5万元，报告仅有5页内容，企业简介2.5页，数字化评估建议1.5页，报告只简单进行了企业情况和数字化评估建议说明，诊断方案篇幅过于单薄，缺乏支撑结论的深入分析和具体数据，无法为被诊断企业提供可落地的智改数转提升方案，降低了诊断服务财政资金使用绩效。</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hint="default"/>
          <w:lang w:val="en-US" w:eastAsia="zh-CN"/>
        </w:rPr>
      </w:pPr>
      <w:r>
        <w:rPr>
          <w:rFonts w:hint="eastAsia" w:ascii="Times New Roman" w:hAnsi="Times New Roman" w:eastAsia="仿宋_GB2312" w:cs="Times New Roman"/>
          <w:color w:val="auto"/>
          <w:kern w:val="0"/>
          <w:sz w:val="32"/>
          <w:szCs w:val="32"/>
          <w:shd w:val="clear" w:color="auto" w:fill="FFFFFF"/>
          <w:lang w:val="en-US" w:eastAsia="zh-CN" w:bidi="ar-SA"/>
        </w:rPr>
        <w:t>存在以上问题的原因是诊断服务意识不强，报告内容缺乏深入分析，“报告模板化”严重，诊断建议核心模块存在固定框架，采用统一模板仅简单替换行业属性等基础信息，对行业特性、企业差异、核心痛点的挖掘不足，导致方案缺少针对性与实操价值。</w:t>
      </w: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3" w:firstLineChars="200"/>
        <w:textAlignment w:val="auto"/>
        <w:rPr>
          <w:rFonts w:hint="eastAsia" w:ascii="Times New Roman" w:hAnsi="Times New Roman" w:cs="Times New Roman"/>
          <w:color w:val="auto"/>
          <w:lang w:val="en-US" w:eastAsia="zh-CN"/>
        </w:rPr>
      </w:pPr>
      <w:r>
        <w:rPr>
          <w:rFonts w:hint="eastAsia" w:ascii="楷体_GB2312" w:hAnsi="楷体_GB2312" w:eastAsia="楷体_GB2312" w:cs="楷体_GB2312"/>
          <w:color w:val="auto"/>
          <w:kern w:val="2"/>
          <w:sz w:val="32"/>
          <w:szCs w:val="32"/>
          <w:lang w:val="en-US" w:eastAsia="zh-CN" w:bidi="ar-SA"/>
        </w:rPr>
        <w:t>（三）部分智改数转诊断服务未达到合同约定，诊断服务过程监管不到位。</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智改数转服务合同“第四条服务内容和质量要求：入企诊断时间原则上不低于 4 天，乙方诊断方案出具后 1 个月内跟进落实企业改造意向，确保企业开展实质性改造工作”。通过查阅智改数转诊断报告，浪潮云洲工业互联网有限公司诊断威海市三威面粉有限公司时间为2024年10月17日—2024年10月17日，浪潮云洲诊断其他企业也未达到合同约定。现场走访了解部分入企诊断情况，反馈诊断时间也未到的合同约定的4天，还存在有的企业并未收到服务商出具的诊断报告，后续服务商跟进工作没有实施。智改数转诊断服务存在诊断服务未按合同约定实施情况，诊断服务过程监管不到位，影响诊断服务预期效果。</w:t>
      </w: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3" w:firstLineChars="200"/>
        <w:textAlignment w:val="auto"/>
        <w:rPr>
          <w:rFonts w:hint="eastAsia" w:ascii="Times New Roman" w:hAnsi="Times New Roman" w:cs="Times New Roman"/>
          <w:color w:val="auto"/>
          <w:highlight w:val="none"/>
          <w:lang w:val="en-US" w:eastAsia="zh-CN"/>
        </w:rPr>
      </w:pPr>
      <w:r>
        <w:rPr>
          <w:rFonts w:hint="eastAsia" w:ascii="楷体_GB2312" w:hAnsi="楷体_GB2312" w:eastAsia="楷体_GB2312" w:cs="楷体_GB2312"/>
          <w:color w:val="auto"/>
          <w:kern w:val="2"/>
          <w:sz w:val="32"/>
          <w:szCs w:val="32"/>
          <w:lang w:val="en-US" w:eastAsia="zh-CN" w:bidi="ar-SA"/>
        </w:rPr>
        <w:t>（四）被诊断企业实施智能化改造项目与任务目标差距较大。</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对智改数转“专项行动”诊断服务2023年和2024年文登区被诊断企业智能化改造项目实施情况进行统计分析，2023年实际诊断企业50家（小微企业3家），实施智能化改造项目23个（小微企业1个），2024年实际诊断企业76家（小微企业6家），实施智能化改造项目36个（小微企业1个），智改数转“专项行动”诊断服务的任务目标是“到2025年底，实现全区规模以上工业企业诊断服务全覆盖，累计实施“智改数转”项目 120 个”，目前阶段仅实现了49%的任务目标，“智改数转”诊断企业升级改造未达到预期效果。</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通过现场走访规下企业威海真都化工有限公司和威海康好生物科技有限公司，小微企业受限于企业规模和市场需求，对实施智能化改造意识不迫切，企业对智改数转诊断的作用和效果并不清晰，而实际企业实施智能化改造项目小微企业也仅有2个，小微企业智能化升级改造效果更低。</w:t>
      </w:r>
    </w:p>
    <w:p>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0" w:firstLineChars="200"/>
        <w:textAlignment w:val="auto"/>
        <w:rPr>
          <w:rFonts w:hint="default" w:ascii="宋体" w:hAnsi="宋体" w:eastAsia="黑体" w:cs="黑体"/>
          <w:b w:val="0"/>
          <w:bCs/>
          <w:color w:val="auto"/>
          <w:sz w:val="32"/>
          <w:szCs w:val="32"/>
          <w:lang w:val="en-US" w:eastAsia="zh-CN"/>
        </w:rPr>
      </w:pPr>
      <w:bookmarkStart w:id="131" w:name="_Toc3894"/>
      <w:bookmarkStart w:id="132" w:name="_Toc15727"/>
      <w:bookmarkStart w:id="133" w:name="_Toc24106"/>
      <w:bookmarkStart w:id="134" w:name="_Toc9192"/>
      <w:bookmarkStart w:id="135" w:name="_Toc16535"/>
      <w:r>
        <w:rPr>
          <w:rFonts w:hint="eastAsia" w:ascii="宋体" w:hAnsi="宋体" w:eastAsia="黑体" w:cs="黑体"/>
          <w:b w:val="0"/>
          <w:bCs/>
          <w:color w:val="auto"/>
          <w:sz w:val="32"/>
          <w:szCs w:val="32"/>
          <w:lang w:val="en-US" w:eastAsia="zh-CN"/>
        </w:rPr>
        <w:t>四、建议和对策</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对于智改数转诊断费项目绩效评价发现的问题，评价工作组提出如下建议和对策：</w:t>
      </w:r>
      <w:bookmarkStart w:id="136" w:name="_Toc25835"/>
      <w:bookmarkStart w:id="137" w:name="_Toc5134"/>
      <w:bookmarkStart w:id="138" w:name="_Toc11676"/>
      <w:bookmarkStart w:id="139" w:name="_Toc9472"/>
    </w:p>
    <w:p>
      <w:pPr>
        <w:pStyle w:val="5"/>
        <w:pageBreakBefore w:val="0"/>
        <w:widowControl w:val="0"/>
        <w:numPr>
          <w:ilvl w:val="0"/>
          <w:numId w:val="0"/>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color w:val="auto"/>
          <w:kern w:val="2"/>
          <w:sz w:val="32"/>
          <w:szCs w:val="32"/>
          <w:lang w:val="en-US" w:eastAsia="zh-CN" w:bidi="ar-SA"/>
        </w:rPr>
      </w:pPr>
      <w:bookmarkStart w:id="140" w:name="_Toc19338"/>
      <w:r>
        <w:rPr>
          <w:rFonts w:hint="eastAsia" w:ascii="楷体_GB2312" w:hAnsi="楷体_GB2312" w:eastAsia="楷体_GB2312" w:cs="楷体_GB2312"/>
          <w:color w:val="auto"/>
          <w:kern w:val="2"/>
          <w:sz w:val="32"/>
          <w:szCs w:val="32"/>
          <w:lang w:val="en-US" w:eastAsia="zh-CN" w:bidi="ar-SA"/>
        </w:rPr>
        <w:t>（一）重视项目绩效指标体系建设，强化绩效管理。</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建议项目单位重视绩效指标体系建设，根据项目情况建立符合单位绩效管理的绩效指标体系，绩效指标涵盖经济成本指标、数量指标及质量指标等多个维度，设置绩效指标时应尽可能完整充分地对绩效目标进行标识，做到重点突出、量化可比、合理可行及经济适用。同时，加强内部绩效监控机制建设，定期监控项目进展，对照绩效指标及时发现并纠正偏差，切实推动绩效管理工作持续提升。</w:t>
      </w:r>
    </w:p>
    <w:p>
      <w:pPr>
        <w:pStyle w:val="5"/>
        <w:pageBreakBefore w:val="0"/>
        <w:widowControl w:val="0"/>
        <w:numPr>
          <w:ilvl w:val="0"/>
          <w:numId w:val="0"/>
        </w:numPr>
        <w:kinsoku/>
        <w:wordWrap/>
        <w:overflowPunct/>
        <w:topLinePunct w:val="0"/>
        <w:autoSpaceDE/>
        <w:autoSpaceDN/>
        <w:bidi w:val="0"/>
        <w:spacing w:line="560" w:lineRule="exact"/>
        <w:ind w:left="0" w:leftChars="0" w:firstLine="643" w:firstLineChars="200"/>
        <w:textAlignment w:val="auto"/>
        <w:rPr>
          <w:rFonts w:hint="default"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（二）优化全过程管理，确保诊断服务的针对性与实效性。</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为了确保诊断服务能够满足企业实用性需求，建议从项目需求、过程监管到验收各环节进行优化和把控。做好后续拟智改数转诊断企业的摸底排查工作，避免为完成数量指标而摊派诊断企业，着力提升诊断工作质量和资金使用绩效。在后续招标文件需求中强化对诊断方案 “行业适配性” 和 “企业个性化” 的硬性要求。</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强化智改数转诊断过程监管机制，要求服务商在诊断前提交详细工作计划（含入企时间、拟诊断企业行业特点、访谈对象、生产环节调研清单、初步改造方案），项目单位过程监督随机抽查现场诊断记录，确保入企诊断覆盖企业核心流程。诊断中期要求服务商与企业进行 “初步方案沟通”，形成《企业反馈意见表》，并作为后续方案修改依据，避免方案脱离企业实际需求出具报告。</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验收阶段对照招标需求、合同约定和企业实际智改数转需求，重点核查方案是否满足所诊断企业所属行业特性，与诊断出的企业个性化智改数转需求是否对应，诊断方案可落地的实施步骤是否符合企业智改数转情况。对未达标的方案，要求服务商限期整改并重新验收，整改不达标则扣减服务费用。</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通过以上措施，能够进一步提升智改数转诊断服务的整体质量，有效帮助企业实现精准转型和持续发展，提高财政资金使用绩效。</w:t>
      </w:r>
    </w:p>
    <w:p>
      <w:pPr>
        <w:pStyle w:val="5"/>
        <w:pageBreakBefore w:val="0"/>
        <w:widowControl w:val="0"/>
        <w:numPr>
          <w:ilvl w:val="0"/>
          <w:numId w:val="0"/>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（三）建议强化合同执行监督机制，严格履行合同管理职责，确保服务落实到位。</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建议项目单位进一步强化对智改数转服务合同执行情况的监督检查力度，严格依据服务合同条款实施管理，对于服务时长可通过“电子打卡结合企业签字确认”等方式，核验服务商入企诊断时长（确保不低于4日），杜绝“一日游”等敷衍行为。建立服务商跟进工作台账，明确在诊断后1个月内提交企业改造意向跟进记录，由主管部门定期回访企业核实信息。对未达标服务商实施扣减服务费用、列入服务黑名单等惩戒措施，确保从入企调研至方案落地的全流程合规有效，推动服务商持续提升服务水平，保障企业能获得高质量的智改数转诊断指导与技术支持。</w:t>
      </w: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3" w:firstLineChars="200"/>
        <w:textAlignment w:val="auto"/>
        <w:rPr>
          <w:rFonts w:hint="default" w:ascii="Times New Roman" w:hAnsi="Times New Roman" w:cs="Times New Roman"/>
          <w:color w:val="auto"/>
          <w:lang w:val="en-US" w:eastAsia="zh-CN"/>
        </w:rPr>
      </w:pPr>
      <w:r>
        <w:rPr>
          <w:rFonts w:hint="eastAsia" w:ascii="楷体_GB2312" w:hAnsi="楷体_GB2312" w:eastAsia="楷体_GB2312" w:cs="楷体_GB2312"/>
          <w:color w:val="auto"/>
          <w:kern w:val="2"/>
          <w:sz w:val="32"/>
          <w:szCs w:val="32"/>
          <w:lang w:val="en-US" w:eastAsia="zh-CN" w:bidi="ar-SA"/>
        </w:rPr>
        <w:t>（四）建议</w:t>
      </w:r>
      <w:r>
        <w:rPr>
          <w:rFonts w:hint="default" w:ascii="楷体_GB2312" w:hAnsi="楷体_GB2312" w:eastAsia="楷体_GB2312" w:cs="楷体_GB2312"/>
          <w:color w:val="auto"/>
          <w:kern w:val="2"/>
          <w:sz w:val="32"/>
          <w:szCs w:val="32"/>
          <w:lang w:val="en-US" w:eastAsia="zh-CN" w:bidi="ar-SA"/>
        </w:rPr>
        <w:t>分层分类精准施策</w:t>
      </w:r>
      <w:r>
        <w:rPr>
          <w:rFonts w:hint="eastAsia" w:ascii="楷体_GB2312" w:hAnsi="楷体_GB2312" w:eastAsia="楷体_GB2312" w:cs="楷体_GB2312"/>
          <w:color w:val="auto"/>
          <w:kern w:val="2"/>
          <w:sz w:val="32"/>
          <w:szCs w:val="32"/>
          <w:lang w:val="en-US" w:eastAsia="zh-CN" w:bidi="ar-SA"/>
        </w:rPr>
        <w:t>，提升精准性与实效性。</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lang w:val="en-US" w:eastAsia="zh-CN"/>
        </w:rPr>
        <w:sectPr>
          <w:footerReference r:id="rId22" w:type="default"/>
          <w:pgSz w:w="11906" w:h="16838"/>
          <w:pgMar w:top="2098" w:right="1474" w:bottom="1871" w:left="1587" w:header="737" w:footer="851" w:gutter="0"/>
          <w:pgNumType w:fmt="decimal"/>
          <w:cols w:space="720" w:num="1"/>
          <w:docGrid w:type="lines" w:linePitch="408" w:charSpace="0"/>
        </w:sectPr>
      </w:pPr>
      <w:r>
        <w:rPr>
          <w:rFonts w:hint="default" w:ascii="Times New Roman" w:hAnsi="Times New Roman" w:eastAsia="仿宋_GB2312" w:cs="Times New Roman"/>
          <w:color w:val="auto"/>
          <w:kern w:val="0"/>
          <w:sz w:val="32"/>
          <w:szCs w:val="32"/>
          <w:shd w:val="clear" w:color="auto" w:fill="FFFFFF"/>
          <w:lang w:val="en-US" w:eastAsia="zh-CN" w:bidi="ar-SA"/>
        </w:rPr>
        <w:t>针对</w:t>
      </w:r>
      <w:r>
        <w:rPr>
          <w:rFonts w:hint="eastAsia" w:ascii="Times New Roman" w:hAnsi="Times New Roman" w:eastAsia="仿宋_GB2312" w:cs="Times New Roman"/>
          <w:color w:val="auto"/>
          <w:kern w:val="0"/>
          <w:sz w:val="32"/>
          <w:szCs w:val="32"/>
          <w:shd w:val="clear" w:color="auto" w:fill="FFFFFF"/>
          <w:lang w:val="en-US" w:eastAsia="zh-CN" w:bidi="ar-SA"/>
        </w:rPr>
        <w:t>诊断企业智能化改造比例不高、</w:t>
      </w:r>
      <w:r>
        <w:rPr>
          <w:rFonts w:hint="default" w:ascii="Times New Roman" w:hAnsi="Times New Roman" w:eastAsia="仿宋_GB2312" w:cs="Times New Roman"/>
          <w:color w:val="auto"/>
          <w:kern w:val="0"/>
          <w:sz w:val="32"/>
          <w:szCs w:val="32"/>
          <w:shd w:val="clear" w:color="auto" w:fill="FFFFFF"/>
          <w:lang w:val="en-US" w:eastAsia="zh-CN" w:bidi="ar-SA"/>
        </w:rPr>
        <w:t>小微企业改造动力不足的问题，建议先由区工信部门联合镇街</w:t>
      </w:r>
      <w:r>
        <w:rPr>
          <w:rFonts w:hint="eastAsia" w:ascii="Times New Roman" w:hAnsi="Times New Roman" w:eastAsia="仿宋_GB2312" w:cs="Times New Roman"/>
          <w:color w:val="auto"/>
          <w:kern w:val="0"/>
          <w:sz w:val="32"/>
          <w:szCs w:val="32"/>
          <w:shd w:val="clear" w:color="auto" w:fill="FFFFFF"/>
          <w:lang w:val="en-US" w:eastAsia="zh-CN" w:bidi="ar-SA"/>
        </w:rPr>
        <w:t>做好</w:t>
      </w:r>
      <w:r>
        <w:rPr>
          <w:rFonts w:hint="default" w:ascii="Times New Roman" w:hAnsi="Times New Roman" w:eastAsia="仿宋_GB2312" w:cs="Times New Roman"/>
          <w:color w:val="auto"/>
          <w:kern w:val="0"/>
          <w:sz w:val="32"/>
          <w:szCs w:val="32"/>
          <w:shd w:val="clear" w:color="auto" w:fill="FFFFFF"/>
          <w:lang w:val="en-US" w:eastAsia="zh-CN" w:bidi="ar-SA"/>
        </w:rPr>
        <w:t>全区企业智改数转需求摸底</w:t>
      </w:r>
      <w:r>
        <w:rPr>
          <w:rFonts w:hint="eastAsia" w:ascii="Times New Roman" w:hAnsi="Times New Roman" w:eastAsia="仿宋_GB2312" w:cs="Times New Roman"/>
          <w:color w:val="auto"/>
          <w:kern w:val="0"/>
          <w:sz w:val="32"/>
          <w:szCs w:val="32"/>
          <w:shd w:val="clear" w:color="auto" w:fill="FFFFFF"/>
          <w:lang w:val="en-US" w:eastAsia="zh-CN" w:bidi="ar-SA"/>
        </w:rPr>
        <w:t>工作</w:t>
      </w:r>
      <w:r>
        <w:rPr>
          <w:rFonts w:hint="default" w:ascii="Times New Roman" w:hAnsi="Times New Roman" w:eastAsia="仿宋_GB2312" w:cs="Times New Roman"/>
          <w:color w:val="auto"/>
          <w:kern w:val="0"/>
          <w:sz w:val="32"/>
          <w:szCs w:val="32"/>
          <w:shd w:val="clear" w:color="auto" w:fill="FFFFFF"/>
          <w:lang w:val="en-US" w:eastAsia="zh-CN" w:bidi="ar-SA"/>
        </w:rPr>
        <w:t>，建立 “一企一档” 动态数据库，按照 “规上企业提级、小微企业破局” 的思路分类划定改造优先级</w:t>
      </w:r>
      <w:r>
        <w:rPr>
          <w:rFonts w:hint="eastAsia" w:ascii="Times New Roman" w:hAnsi="Times New Roman" w:eastAsia="仿宋_GB2312" w:cs="Times New Roman"/>
          <w:color w:val="auto"/>
          <w:kern w:val="0"/>
          <w:sz w:val="32"/>
          <w:szCs w:val="32"/>
          <w:shd w:val="clear" w:color="auto" w:fill="FFFFFF"/>
          <w:lang w:val="en-US" w:eastAsia="zh-CN" w:bidi="ar-SA"/>
        </w:rPr>
        <w:t>，</w:t>
      </w:r>
      <w:r>
        <w:rPr>
          <w:rFonts w:hint="default" w:ascii="Times New Roman" w:hAnsi="Times New Roman" w:eastAsia="仿宋_GB2312" w:cs="Times New Roman"/>
          <w:color w:val="auto"/>
          <w:kern w:val="0"/>
          <w:sz w:val="32"/>
          <w:szCs w:val="32"/>
          <w:shd w:val="clear" w:color="auto" w:fill="FFFFFF"/>
          <w:lang w:val="en-US" w:eastAsia="zh-CN" w:bidi="ar-SA"/>
        </w:rPr>
        <w:t>对有明确需求但缺乏方案的规上企业</w:t>
      </w:r>
      <w:r>
        <w:rPr>
          <w:rFonts w:hint="eastAsia" w:ascii="Times New Roman" w:hAnsi="Times New Roman" w:eastAsia="仿宋_GB2312" w:cs="Times New Roman"/>
          <w:color w:val="auto"/>
          <w:kern w:val="0"/>
          <w:sz w:val="32"/>
          <w:szCs w:val="32"/>
          <w:shd w:val="clear" w:color="auto" w:fill="FFFFFF"/>
          <w:lang w:val="en-US" w:eastAsia="zh-CN" w:bidi="ar-SA"/>
        </w:rPr>
        <w:t>确定为诊断重点企业</w:t>
      </w:r>
      <w:r>
        <w:rPr>
          <w:rFonts w:hint="default" w:ascii="Times New Roman" w:hAnsi="Times New Roman" w:eastAsia="仿宋_GB2312" w:cs="Times New Roman"/>
          <w:color w:val="auto"/>
          <w:kern w:val="0"/>
          <w:sz w:val="32"/>
          <w:szCs w:val="32"/>
          <w:shd w:val="clear" w:color="auto" w:fill="FFFFFF"/>
          <w:lang w:val="en-US" w:eastAsia="zh-CN" w:bidi="ar-SA"/>
        </w:rPr>
        <w:t>，</w:t>
      </w:r>
      <w:r>
        <w:rPr>
          <w:rFonts w:hint="eastAsia" w:ascii="Times New Roman" w:hAnsi="Times New Roman" w:eastAsia="仿宋_GB2312" w:cs="Times New Roman"/>
          <w:color w:val="auto"/>
          <w:kern w:val="0"/>
          <w:sz w:val="32"/>
          <w:szCs w:val="32"/>
          <w:shd w:val="clear" w:color="auto" w:fill="FFFFFF"/>
          <w:lang w:val="en-US" w:eastAsia="zh-CN" w:bidi="ar-SA"/>
        </w:rPr>
        <w:t>后期</w:t>
      </w:r>
      <w:r>
        <w:rPr>
          <w:rFonts w:hint="default" w:ascii="Times New Roman" w:hAnsi="Times New Roman" w:eastAsia="仿宋_GB2312" w:cs="Times New Roman"/>
          <w:color w:val="auto"/>
          <w:kern w:val="0"/>
          <w:sz w:val="32"/>
          <w:szCs w:val="32"/>
          <w:shd w:val="clear" w:color="auto" w:fill="FFFFFF"/>
          <w:lang w:val="en-US" w:eastAsia="zh-CN" w:bidi="ar-SA"/>
        </w:rPr>
        <w:t>匹配专业诊断团队定制个性化改造路径；对小微企业则聚焦 “降本增效” 刚需，筛选出生产流程标准化程度较高、改造见效快的企业</w:t>
      </w:r>
      <w:r>
        <w:rPr>
          <w:rFonts w:hint="eastAsia" w:ascii="Times New Roman" w:hAnsi="Times New Roman" w:eastAsia="仿宋_GB2312" w:cs="Times New Roman"/>
          <w:color w:val="auto"/>
          <w:kern w:val="0"/>
          <w:sz w:val="32"/>
          <w:szCs w:val="32"/>
          <w:shd w:val="clear" w:color="auto" w:fill="FFFFFF"/>
          <w:lang w:val="en-US" w:eastAsia="zh-CN" w:bidi="ar-SA"/>
        </w:rPr>
        <w:t>，</w:t>
      </w:r>
      <w:r>
        <w:rPr>
          <w:rFonts w:hint="default" w:ascii="Times New Roman" w:hAnsi="Times New Roman" w:eastAsia="仿宋_GB2312" w:cs="Times New Roman"/>
          <w:color w:val="auto"/>
          <w:kern w:val="0"/>
          <w:sz w:val="32"/>
          <w:szCs w:val="32"/>
          <w:shd w:val="clear" w:color="auto" w:fill="FFFFFF"/>
          <w:lang w:val="en-US" w:eastAsia="zh-CN" w:bidi="ar-SA"/>
        </w:rPr>
        <w:t>列为重点帮扶对象</w:t>
      </w:r>
      <w:r>
        <w:rPr>
          <w:rFonts w:hint="eastAsia" w:ascii="Times New Roman" w:hAnsi="Times New Roman" w:eastAsia="仿宋_GB2312" w:cs="Times New Roman"/>
          <w:color w:val="auto"/>
          <w:kern w:val="0"/>
          <w:sz w:val="32"/>
          <w:szCs w:val="32"/>
          <w:shd w:val="clear" w:color="auto" w:fill="FFFFFF"/>
          <w:lang w:val="en-US" w:eastAsia="zh-CN" w:bidi="ar-SA"/>
        </w:rPr>
        <w:t>企业，提高诊断目标企业精准性和时效性，避免为了诊断数量而开展诊断服务</w:t>
      </w:r>
      <w:r>
        <w:rPr>
          <w:rFonts w:hint="default" w:ascii="Times New Roman" w:hAnsi="Times New Roman" w:eastAsia="仿宋_GB2312" w:cs="Times New Roman"/>
          <w:color w:val="auto"/>
          <w:kern w:val="0"/>
          <w:sz w:val="32"/>
          <w:szCs w:val="32"/>
          <w:shd w:val="clear" w:color="auto" w:fill="FFFFFF"/>
          <w:lang w:val="en-US" w:eastAsia="zh-CN" w:bidi="ar-SA"/>
        </w:rPr>
        <w:t>。对暂不具备改造条件的企业暂不纳入</w:t>
      </w:r>
      <w:r>
        <w:rPr>
          <w:rFonts w:hint="eastAsia" w:ascii="Times New Roman" w:hAnsi="Times New Roman" w:eastAsia="仿宋_GB2312" w:cs="Times New Roman"/>
          <w:color w:val="auto"/>
          <w:kern w:val="0"/>
          <w:sz w:val="32"/>
          <w:szCs w:val="32"/>
          <w:shd w:val="clear" w:color="auto" w:fill="FFFFFF"/>
          <w:lang w:val="en-US" w:eastAsia="zh-CN" w:bidi="ar-SA"/>
        </w:rPr>
        <w:t>诊断服务</w:t>
      </w:r>
      <w:r>
        <w:rPr>
          <w:rFonts w:hint="default" w:ascii="Times New Roman" w:hAnsi="Times New Roman" w:eastAsia="仿宋_GB2312" w:cs="Times New Roman"/>
          <w:color w:val="auto"/>
          <w:kern w:val="0"/>
          <w:sz w:val="32"/>
          <w:szCs w:val="32"/>
          <w:shd w:val="clear" w:color="auto" w:fill="FFFFFF"/>
          <w:lang w:val="en-US" w:eastAsia="zh-CN" w:bidi="ar-SA"/>
        </w:rPr>
        <w:t>范围，通过 “精准画像 + 分类扶持” 提升</w:t>
      </w:r>
      <w:r>
        <w:rPr>
          <w:rFonts w:hint="eastAsia" w:ascii="Times New Roman" w:hAnsi="Times New Roman" w:eastAsia="仿宋_GB2312" w:cs="Times New Roman"/>
          <w:color w:val="auto"/>
          <w:kern w:val="0"/>
          <w:sz w:val="32"/>
          <w:szCs w:val="32"/>
          <w:shd w:val="clear" w:color="auto" w:fill="FFFFFF"/>
          <w:lang w:val="en-US" w:eastAsia="zh-CN" w:bidi="ar-SA"/>
        </w:rPr>
        <w:t>财政</w:t>
      </w:r>
      <w:r>
        <w:rPr>
          <w:rFonts w:hint="default" w:ascii="Times New Roman" w:hAnsi="Times New Roman" w:eastAsia="仿宋_GB2312" w:cs="Times New Roman"/>
          <w:color w:val="auto"/>
          <w:kern w:val="0"/>
          <w:sz w:val="32"/>
          <w:szCs w:val="32"/>
          <w:shd w:val="clear" w:color="auto" w:fill="FFFFFF"/>
          <w:lang w:val="en-US" w:eastAsia="zh-CN" w:bidi="ar-SA"/>
        </w:rPr>
        <w:t>资金使用</w:t>
      </w:r>
      <w:r>
        <w:rPr>
          <w:rFonts w:hint="eastAsia" w:ascii="Times New Roman" w:hAnsi="Times New Roman" w:eastAsia="仿宋_GB2312" w:cs="Times New Roman"/>
          <w:color w:val="auto"/>
          <w:kern w:val="0"/>
          <w:sz w:val="32"/>
          <w:szCs w:val="32"/>
          <w:shd w:val="clear" w:color="auto" w:fill="FFFFFF"/>
          <w:lang w:val="en-US" w:eastAsia="zh-CN" w:bidi="ar-SA"/>
        </w:rPr>
        <w:t>绩效。</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eastAsia="zh-CN"/>
        </w:rPr>
        <w:t>附件</w:t>
      </w:r>
      <w:r>
        <w:rPr>
          <w:rFonts w:hint="eastAsia" w:ascii="仿宋_GB2312" w:hAnsi="仿宋_GB2312" w:eastAsia="仿宋_GB2312" w:cs="仿宋_GB2312"/>
          <w:b/>
          <w:bCs/>
          <w:sz w:val="24"/>
          <w:szCs w:val="24"/>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24</w:t>
      </w:r>
      <w:r>
        <w:rPr>
          <w:rFonts w:hint="eastAsia" w:ascii="方正小标宋简体" w:hAnsi="方正小标宋简体" w:eastAsia="方正小标宋简体" w:cs="方正小标宋简体"/>
          <w:sz w:val="44"/>
          <w:szCs w:val="44"/>
          <w:highlight w:val="none"/>
        </w:rPr>
        <w:t>年一般公共预算转移支付情况</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共收到中央、省、市三级转移支付补助资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金</w:t>
      </w:r>
      <w:r>
        <w:rPr>
          <w:rFonts w:hint="eastAsia" w:ascii="仿宋_GB2312" w:hAnsi="仿宋_GB2312" w:eastAsia="仿宋_GB2312" w:cs="仿宋_GB2312"/>
          <w:sz w:val="32"/>
          <w:szCs w:val="32"/>
          <w:highlight w:val="none"/>
          <w:lang w:val="en-US" w:eastAsia="zh-CN"/>
        </w:rPr>
        <w:t>173749</w:t>
      </w:r>
      <w:r>
        <w:rPr>
          <w:rFonts w:hint="eastAsia" w:ascii="仿宋_GB2312" w:hAnsi="仿宋_GB2312" w:eastAsia="仿宋_GB2312" w:cs="仿宋_GB2312"/>
          <w:sz w:val="32"/>
          <w:szCs w:val="32"/>
          <w:highlight w:val="none"/>
        </w:rPr>
        <w:t>万元，具体情况如下：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24</w:t>
      </w:r>
      <w:r>
        <w:rPr>
          <w:rFonts w:hint="eastAsia" w:ascii="黑体" w:hAnsi="黑体" w:eastAsia="黑体" w:cs="黑体"/>
          <w:sz w:val="32"/>
          <w:szCs w:val="32"/>
          <w:highlight w:val="none"/>
        </w:rPr>
        <w:t>年一般性转移支付执行数为</w:t>
      </w:r>
      <w:r>
        <w:rPr>
          <w:rFonts w:hint="eastAsia" w:ascii="黑体" w:hAnsi="黑体" w:eastAsia="黑体" w:cs="黑体"/>
          <w:sz w:val="32"/>
          <w:szCs w:val="32"/>
          <w:highlight w:val="none"/>
          <w:lang w:val="en-US" w:eastAsia="zh-CN"/>
        </w:rPr>
        <w:t>127739</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一般性转移支付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均衡性转移支付</w:t>
      </w:r>
      <w:r>
        <w:rPr>
          <w:rFonts w:hint="eastAsia" w:ascii="仿宋_GB2312" w:hAnsi="仿宋_GB2312" w:eastAsia="仿宋_GB2312" w:cs="仿宋_GB2312"/>
          <w:color w:val="auto"/>
          <w:sz w:val="32"/>
          <w:szCs w:val="32"/>
          <w:highlight w:val="none"/>
          <w:lang w:val="en-US" w:eastAsia="zh-CN"/>
        </w:rPr>
        <w:t>1720</w:t>
      </w:r>
      <w:r>
        <w:rPr>
          <w:rFonts w:hint="eastAsia" w:ascii="仿宋_GB2312" w:hAnsi="仿宋_GB2312" w:eastAsia="仿宋_GB2312" w:cs="仿宋_GB2312"/>
          <w:color w:val="auto"/>
          <w:sz w:val="32"/>
          <w:szCs w:val="32"/>
          <w:highlight w:val="none"/>
        </w:rPr>
        <w:t>万元，主要用于均衡各地方政府财力差异，推进区域间基本公共服务均等化。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（二）产粮（油）大县奖励资金1940万元，主要用于缓解产粮（油）大县财政困难，调动政府抓好粮食生产的积极性，巩固粮食安全基础。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（三）重点生态功能区转移支付5606万元。主要用于对国家级重点生态县、国家自然保护区以及重要水源保护地财力补助，帮助其生态保护和民生改善。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农林水共同财政事权转移支付收入</w:t>
      </w:r>
      <w:r>
        <w:rPr>
          <w:rFonts w:hint="eastAsia" w:ascii="仿宋_GB2312" w:hAnsi="仿宋_GB2312" w:eastAsia="仿宋_GB2312" w:cs="仿宋_GB2312"/>
          <w:color w:val="auto"/>
          <w:sz w:val="32"/>
          <w:szCs w:val="32"/>
          <w:highlight w:val="none"/>
          <w:lang w:val="en-US" w:eastAsia="zh-CN"/>
        </w:rPr>
        <w:t>29308</w:t>
      </w:r>
      <w:r>
        <w:rPr>
          <w:rFonts w:hint="eastAsia" w:ascii="仿宋_GB2312" w:hAnsi="仿宋_GB2312" w:eastAsia="仿宋_GB2312" w:cs="仿宋_GB2312"/>
          <w:color w:val="auto"/>
          <w:sz w:val="32"/>
          <w:szCs w:val="32"/>
          <w:highlight w:val="none"/>
        </w:rPr>
        <w:t>万元，主要用于支持乡村振兴专项支出。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rPr>
        <w:t>社会保障和就业共同财政事权转移支付收入</w:t>
      </w:r>
      <w:r>
        <w:rPr>
          <w:rFonts w:hint="eastAsia" w:ascii="仿宋_GB2312" w:hAnsi="仿宋_GB2312" w:eastAsia="仿宋_GB2312" w:cs="仿宋_GB2312"/>
          <w:color w:val="auto"/>
          <w:sz w:val="32"/>
          <w:szCs w:val="32"/>
          <w:highlight w:val="none"/>
          <w:lang w:val="en-US" w:eastAsia="zh-CN"/>
        </w:rPr>
        <w:t>22718</w:t>
      </w:r>
      <w:r>
        <w:rPr>
          <w:rFonts w:hint="eastAsia" w:ascii="仿宋_GB2312" w:hAnsi="仿宋_GB2312" w:eastAsia="仿宋_GB2312" w:cs="仿宋_GB2312"/>
          <w:color w:val="auto"/>
          <w:sz w:val="32"/>
          <w:szCs w:val="32"/>
          <w:highlight w:val="none"/>
        </w:rPr>
        <w:t>万元，主要用于保障居民基本养老保险基础养老金发放、对城乡低保对象等低收入群体进行补助。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（六）医疗卫生</w:t>
      </w:r>
      <w:r>
        <w:rPr>
          <w:rFonts w:hint="eastAsia" w:ascii="仿宋_GB2312" w:hAnsi="仿宋_GB2312" w:eastAsia="仿宋_GB2312" w:cs="仿宋_GB2312"/>
          <w:color w:val="auto"/>
          <w:sz w:val="32"/>
          <w:szCs w:val="32"/>
          <w:highlight w:val="none"/>
        </w:rPr>
        <w:t>共同财政事权转移支付收入</w:t>
      </w:r>
      <w:r>
        <w:rPr>
          <w:rFonts w:hint="eastAsia" w:ascii="仿宋_GB2312" w:hAnsi="仿宋_GB2312" w:eastAsia="仿宋_GB2312" w:cs="仿宋_GB2312"/>
          <w:color w:val="auto"/>
          <w:sz w:val="32"/>
          <w:szCs w:val="32"/>
          <w:highlight w:val="none"/>
          <w:lang w:val="en-US" w:eastAsia="zh-CN"/>
        </w:rPr>
        <w:t>8064</w:t>
      </w:r>
      <w:r>
        <w:rPr>
          <w:rFonts w:hint="eastAsia" w:ascii="仿宋_GB2312" w:hAnsi="仿宋_GB2312" w:eastAsia="仿宋_GB2312" w:cs="仿宋_GB2312"/>
          <w:color w:val="auto"/>
          <w:sz w:val="32"/>
          <w:szCs w:val="32"/>
          <w:highlight w:val="none"/>
        </w:rPr>
        <w:t>万元，主要用于计划生育服务、城乡医疗救助、医保能力提升等方面支出。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rPr>
        <w:t>教育共同财政事权转移支付收入</w:t>
      </w:r>
      <w:r>
        <w:rPr>
          <w:rFonts w:hint="eastAsia" w:ascii="仿宋_GB2312" w:hAnsi="仿宋_GB2312" w:eastAsia="仿宋_GB2312" w:cs="仿宋_GB2312"/>
          <w:color w:val="auto"/>
          <w:sz w:val="32"/>
          <w:szCs w:val="32"/>
          <w:highlight w:val="none"/>
          <w:lang w:val="en-US" w:eastAsia="zh-CN"/>
        </w:rPr>
        <w:t>6024</w:t>
      </w:r>
      <w:r>
        <w:rPr>
          <w:rFonts w:hint="eastAsia" w:ascii="仿宋_GB2312" w:hAnsi="仿宋_GB2312" w:eastAsia="仿宋_GB2312" w:cs="仿宋_GB2312"/>
          <w:color w:val="auto"/>
          <w:sz w:val="32"/>
          <w:szCs w:val="32"/>
          <w:highlight w:val="none"/>
        </w:rPr>
        <w:t>万元，主要用于完善城乡义务教育经费保障机制、改善薄弱地区基础教育办学条件，推动教育资源均衡配置。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其他一般性转移支付</w:t>
      </w:r>
      <w:r>
        <w:rPr>
          <w:rFonts w:hint="eastAsia" w:ascii="仿宋_GB2312" w:hAnsi="仿宋_GB2312" w:eastAsia="仿宋_GB2312" w:cs="仿宋_GB2312"/>
          <w:color w:val="auto"/>
          <w:sz w:val="32"/>
          <w:szCs w:val="32"/>
          <w:highlight w:val="none"/>
          <w:lang w:val="en-US" w:eastAsia="zh-CN"/>
        </w:rPr>
        <w:t>52359</w:t>
      </w:r>
      <w:r>
        <w:rPr>
          <w:rFonts w:hint="eastAsia" w:ascii="仿宋_GB2312" w:hAnsi="仿宋_GB2312" w:eastAsia="仿宋_GB2312" w:cs="仿宋_GB2312"/>
          <w:color w:val="auto"/>
          <w:sz w:val="32"/>
          <w:szCs w:val="32"/>
          <w:highlight w:val="none"/>
        </w:rPr>
        <w:t>万元，主要包括公共安全、节能环保、交通运输等共同财政事权转移支付以及企事业单位划转补助等，重点用于公共安全、节能环保、交通运输等公共服务和社会管理领域，增强基本公共服务保障能力。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24</w:t>
      </w:r>
      <w:r>
        <w:rPr>
          <w:rFonts w:hint="eastAsia" w:ascii="黑体" w:hAnsi="黑体" w:eastAsia="黑体" w:cs="黑体"/>
          <w:sz w:val="32"/>
          <w:szCs w:val="32"/>
          <w:highlight w:val="none"/>
        </w:rPr>
        <w:t>年专项转移支付执行数为</w:t>
      </w:r>
      <w:r>
        <w:rPr>
          <w:rFonts w:hint="eastAsia" w:ascii="黑体" w:hAnsi="黑体" w:eastAsia="黑体" w:cs="黑体"/>
          <w:sz w:val="32"/>
          <w:szCs w:val="32"/>
          <w:highlight w:val="none"/>
          <w:lang w:val="en-US" w:eastAsia="zh-CN"/>
        </w:rPr>
        <w:t>46010</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（一）节能环保方面5026万元。主要用于支持环境污染防治、节能减排和清洁取暖等相关方面支出。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农林水方面</w:t>
      </w:r>
      <w:r>
        <w:rPr>
          <w:rFonts w:hint="eastAsia" w:ascii="仿宋_GB2312" w:hAnsi="仿宋_GB2312" w:eastAsia="仿宋_GB2312" w:cs="仿宋_GB2312"/>
          <w:sz w:val="32"/>
          <w:szCs w:val="32"/>
          <w:highlight w:val="none"/>
          <w:lang w:val="en-US" w:eastAsia="zh-CN"/>
        </w:rPr>
        <w:t>4886</w:t>
      </w:r>
      <w:r>
        <w:rPr>
          <w:rFonts w:hint="eastAsia" w:ascii="仿宋_GB2312" w:hAnsi="仿宋_GB2312" w:eastAsia="仿宋_GB2312" w:cs="仿宋_GB2312"/>
          <w:sz w:val="32"/>
          <w:szCs w:val="32"/>
          <w:highlight w:val="none"/>
        </w:rPr>
        <w:t>万元，主要用于支持农业科技和现代农业生产发展、重大动植物病虫害防治、耕地质量提升、植树造林和森林资源保护管理、水利发展等方面支出。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sz w:val="32"/>
          <w:szCs w:val="32"/>
          <w:highlight w:val="none"/>
        </w:rPr>
        <w:t>资源勘探</w:t>
      </w:r>
      <w:r>
        <w:rPr>
          <w:rFonts w:hint="eastAsia" w:ascii="仿宋_GB2312" w:hAnsi="仿宋_GB2312" w:eastAsia="仿宋_GB2312" w:cs="仿宋_GB2312"/>
          <w:sz w:val="32"/>
          <w:szCs w:val="32"/>
          <w:highlight w:val="none"/>
          <w:lang w:eastAsia="zh-CN"/>
        </w:rPr>
        <w:t>工业</w:t>
      </w:r>
      <w:r>
        <w:rPr>
          <w:rFonts w:hint="eastAsia" w:ascii="仿宋_GB2312" w:hAnsi="仿宋_GB2312" w:eastAsia="仿宋_GB2312" w:cs="仿宋_GB2312"/>
          <w:sz w:val="32"/>
          <w:szCs w:val="32"/>
          <w:highlight w:val="none"/>
        </w:rPr>
        <w:t>信息等方面</w:t>
      </w:r>
      <w:r>
        <w:rPr>
          <w:rFonts w:hint="eastAsia" w:ascii="仿宋_GB2312" w:hAnsi="仿宋_GB2312" w:eastAsia="仿宋_GB2312" w:cs="仿宋_GB2312"/>
          <w:sz w:val="32"/>
          <w:szCs w:val="32"/>
          <w:highlight w:val="none"/>
          <w:lang w:val="en-US" w:eastAsia="zh-CN"/>
        </w:rPr>
        <w:t>5872</w:t>
      </w:r>
      <w:r>
        <w:rPr>
          <w:rFonts w:hint="eastAsia" w:ascii="仿宋_GB2312" w:hAnsi="仿宋_GB2312" w:eastAsia="仿宋_GB2312" w:cs="仿宋_GB2312"/>
          <w:sz w:val="32"/>
          <w:szCs w:val="32"/>
          <w:highlight w:val="none"/>
        </w:rPr>
        <w:t>万元，主要用于支持工业提质增效和军民融合发展、安全生产、中小企业创业补助及创新奖励等方面支出。</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城乡社区</w:t>
      </w:r>
      <w:r>
        <w:rPr>
          <w:rFonts w:hint="eastAsia" w:ascii="仿宋_GB2312" w:hAnsi="仿宋_GB2312" w:eastAsia="仿宋_GB2312" w:cs="仿宋_GB2312"/>
          <w:sz w:val="32"/>
          <w:szCs w:val="32"/>
          <w:highlight w:val="none"/>
        </w:rPr>
        <w:t>方面</w:t>
      </w:r>
      <w:r>
        <w:rPr>
          <w:rFonts w:hint="eastAsia" w:ascii="仿宋_GB2312" w:hAnsi="仿宋_GB2312" w:eastAsia="仿宋_GB2312" w:cs="仿宋_GB2312"/>
          <w:sz w:val="32"/>
          <w:szCs w:val="32"/>
          <w:highlight w:val="none"/>
          <w:lang w:val="en-US" w:eastAsia="zh-CN"/>
        </w:rPr>
        <w:t>26400万元，主要用于支持城乡社区公共设施等项目支出。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小标宋简体" w:hAnsi="方正小标宋简体" w:eastAsia="方正小标宋简体" w:cs="方正小标宋简体"/>
          <w:sz w:val="44"/>
          <w:szCs w:val="44"/>
          <w:highlight w:val="none"/>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其他方面</w:t>
      </w:r>
      <w:r>
        <w:rPr>
          <w:rFonts w:hint="eastAsia" w:ascii="仿宋_GB2312" w:hAnsi="仿宋_GB2312" w:eastAsia="仿宋_GB2312" w:cs="仿宋_GB2312"/>
          <w:sz w:val="32"/>
          <w:szCs w:val="32"/>
          <w:highlight w:val="none"/>
          <w:lang w:val="en-US" w:eastAsia="zh-CN"/>
        </w:rPr>
        <w:t>3826万元，主要用于支持文化旅游体育与传媒、社会保障、自然资源海洋气象项目建设等方面支出。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24</w:t>
      </w:r>
      <w:r>
        <w:rPr>
          <w:rFonts w:hint="eastAsia" w:ascii="方正小标宋简体" w:hAnsi="方正小标宋简体" w:eastAsia="方正小标宋简体" w:cs="方正小标宋简体"/>
          <w:sz w:val="44"/>
          <w:szCs w:val="44"/>
          <w:highlight w:val="none"/>
        </w:rPr>
        <w:t>年政府性基金转移支付情况</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共收到省、市</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级转移支付补助资金</w:t>
      </w:r>
      <w:r>
        <w:rPr>
          <w:rFonts w:hint="eastAsia" w:ascii="仿宋_GB2312" w:hAnsi="仿宋_GB2312" w:eastAsia="仿宋_GB2312" w:cs="仿宋_GB2312"/>
          <w:sz w:val="32"/>
          <w:szCs w:val="32"/>
          <w:highlight w:val="none"/>
          <w:lang w:val="en-US" w:eastAsia="zh-CN"/>
        </w:rPr>
        <w:t>24281</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因体制原因，我区对乡镇按照部门进行管理，因此没有</w:t>
      </w:r>
      <w:r>
        <w:rPr>
          <w:rFonts w:hint="eastAsia" w:ascii="仿宋_GB2312" w:hAnsi="仿宋_GB2312" w:eastAsia="仿宋_GB2312" w:cs="仿宋_GB2312"/>
          <w:sz w:val="32"/>
          <w:szCs w:val="32"/>
          <w:highlight w:val="none"/>
          <w:lang w:eastAsia="zh-CN"/>
        </w:rPr>
        <w:t>对乡镇</w:t>
      </w:r>
      <w:r>
        <w:rPr>
          <w:rFonts w:hint="eastAsia" w:ascii="仿宋_GB2312" w:hAnsi="仿宋_GB2312" w:eastAsia="仿宋_GB2312" w:cs="仿宋_GB2312"/>
          <w:sz w:val="32"/>
          <w:szCs w:val="32"/>
          <w:highlight w:val="none"/>
        </w:rPr>
        <w:t>转移支付</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，具体情况如下：</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国有土地使用权出让</w:t>
      </w:r>
      <w:r>
        <w:rPr>
          <w:rFonts w:hint="eastAsia" w:ascii="仿宋_GB2312" w:hAnsi="仿宋_GB2312" w:eastAsia="仿宋_GB2312" w:cs="仿宋_GB2312"/>
          <w:color w:val="auto"/>
          <w:sz w:val="32"/>
          <w:szCs w:val="32"/>
          <w:highlight w:val="none"/>
          <w:lang w:val="en-US" w:eastAsia="zh-CN"/>
        </w:rPr>
        <w:t>898</w:t>
      </w:r>
      <w:r>
        <w:rPr>
          <w:rFonts w:hint="eastAsia" w:ascii="仿宋_GB2312" w:hAnsi="仿宋_GB2312" w:eastAsia="仿宋_GB2312" w:cs="仿宋_GB2312"/>
          <w:color w:val="auto"/>
          <w:sz w:val="32"/>
          <w:szCs w:val="32"/>
          <w:highlight w:val="none"/>
        </w:rPr>
        <w:t>万元，主要用于征地和拆迁补偿、土地开发、城市建设及加快保障性安居工程建设等方面支出</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国家电影事业发展专项资金相关收入</w:t>
      </w:r>
      <w:r>
        <w:rPr>
          <w:rFonts w:hint="eastAsia" w:ascii="仿宋_GB2312" w:hAnsi="仿宋_GB2312" w:eastAsia="仿宋_GB2312" w:cs="仿宋_GB2312"/>
          <w:color w:val="auto"/>
          <w:sz w:val="32"/>
          <w:szCs w:val="32"/>
          <w:highlight w:val="none"/>
          <w:lang w:val="en-US" w:eastAsia="zh-CN"/>
        </w:rPr>
        <w:t>60</w:t>
      </w:r>
      <w:r>
        <w:rPr>
          <w:rFonts w:hint="eastAsia" w:ascii="仿宋_GB2312" w:hAnsi="仿宋_GB2312" w:eastAsia="仿宋_GB2312" w:cs="仿宋_GB2312"/>
          <w:color w:val="auto"/>
          <w:sz w:val="32"/>
          <w:szCs w:val="32"/>
          <w:highlight w:val="none"/>
        </w:rPr>
        <w:t>万元，主要用于支持影院建设和设备更新改造、重点制片基地建设发展等方面支出</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三、大中型水库移民后期扶持基金收入1665万元，主要用于解决水库移民安置后生产生活问题，促进库区和移民安置区经济社会发展等方面支出。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彩票公益金收入</w:t>
      </w:r>
      <w:r>
        <w:rPr>
          <w:rFonts w:hint="eastAsia" w:ascii="仿宋_GB2312" w:hAnsi="仿宋_GB2312" w:eastAsia="仿宋_GB2312" w:cs="仿宋_GB2312"/>
          <w:color w:val="auto"/>
          <w:sz w:val="32"/>
          <w:szCs w:val="32"/>
          <w:highlight w:val="none"/>
          <w:lang w:val="en-US" w:eastAsia="zh-CN"/>
        </w:rPr>
        <w:t>2158</w:t>
      </w:r>
      <w:r>
        <w:rPr>
          <w:rFonts w:hint="eastAsia" w:ascii="仿宋_GB2312" w:hAnsi="仿宋_GB2312" w:eastAsia="仿宋_GB2312" w:cs="仿宋_GB2312"/>
          <w:color w:val="auto"/>
          <w:sz w:val="32"/>
          <w:szCs w:val="32"/>
          <w:highlight w:val="none"/>
        </w:rPr>
        <w:t>万元，主要用于支持市县养老、扶贫、体育、教育、残疾人、城乡医疗救助等社会公益事业发展，对彩票发行销售机构业务开展给予补助。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重大水利工程建设基金收入</w:t>
      </w:r>
      <w:r>
        <w:rPr>
          <w:rFonts w:hint="eastAsia" w:ascii="仿宋_GB2312" w:hAnsi="仿宋_GB2312" w:eastAsia="仿宋_GB2312" w:cs="仿宋_GB2312"/>
          <w:color w:val="auto"/>
          <w:sz w:val="32"/>
          <w:szCs w:val="32"/>
          <w:highlight w:val="none"/>
          <w:lang w:val="en-US" w:eastAsia="zh-CN"/>
        </w:rPr>
        <w:t>111</w:t>
      </w:r>
      <w:r>
        <w:rPr>
          <w:rFonts w:hint="eastAsia" w:ascii="仿宋_GB2312" w:hAnsi="仿宋_GB2312" w:eastAsia="仿宋_GB2312" w:cs="仿宋_GB2312"/>
          <w:color w:val="auto"/>
          <w:sz w:val="32"/>
          <w:szCs w:val="32"/>
          <w:highlight w:val="none"/>
        </w:rPr>
        <w:t>万元，主要用于</w:t>
      </w:r>
      <w:r>
        <w:rPr>
          <w:rFonts w:hint="eastAsia" w:ascii="仿宋_GB2312" w:hAnsi="仿宋_GB2312" w:eastAsia="仿宋_GB2312" w:cs="仿宋_GB2312"/>
          <w:color w:val="auto"/>
          <w:sz w:val="32"/>
          <w:szCs w:val="32"/>
          <w:highlight w:val="none"/>
          <w:lang w:eastAsia="zh-CN"/>
        </w:rPr>
        <w:t>重点水利工程</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eastAsia="zh-CN"/>
        </w:rPr>
        <w:t>领域。</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eastAsia="zh-CN"/>
        </w:rPr>
        <w:t>六、超长期特别国债相关收入</w:t>
      </w:r>
      <w:r>
        <w:rPr>
          <w:rFonts w:hint="eastAsia" w:ascii="仿宋_GB2312" w:hAnsi="仿宋_GB2312" w:eastAsia="仿宋_GB2312" w:cs="仿宋_GB2312"/>
          <w:color w:val="auto"/>
          <w:sz w:val="32"/>
          <w:szCs w:val="32"/>
          <w:highlight w:val="none"/>
          <w:lang w:val="en-US" w:eastAsia="zh-CN"/>
        </w:rPr>
        <w:t>19389万元，主要用于支持国家重大战略实施和重点领域安全能力建设等领域。</w:t>
      </w:r>
    </w:p>
    <w:p/>
    <w:p>
      <w:pPr>
        <w:pStyle w:val="2"/>
        <w:rPr>
          <w:rFonts w:hint="eastAsia" w:ascii="Times New Roman" w:hAnsi="Times New Roman" w:eastAsia="仿宋_GB2312" w:cs="Times New Roman"/>
          <w:color w:val="auto"/>
          <w:kern w:val="0"/>
          <w:sz w:val="32"/>
          <w:szCs w:val="32"/>
          <w:shd w:val="clear" w:color="auto" w:fill="FFFFFF"/>
          <w:lang w:val="en-US" w:eastAsia="zh-CN" w:bidi="ar-SA"/>
        </w:rPr>
      </w:pPr>
    </w:p>
    <w:p>
      <w:pPr>
        <w:rPr>
          <w:rFonts w:hint="eastAsia" w:ascii="Times New Roman" w:hAnsi="Times New Roman" w:eastAsia="仿宋_GB2312" w:cs="Times New Roman"/>
          <w:color w:val="auto"/>
          <w:kern w:val="0"/>
          <w:sz w:val="32"/>
          <w:szCs w:val="32"/>
          <w:shd w:val="clear" w:color="auto" w:fill="FFFFFF"/>
          <w:lang w:val="en-US" w:eastAsia="zh-CN" w:bidi="ar-SA"/>
        </w:rPr>
      </w:pPr>
    </w:p>
    <w:p>
      <w:pPr>
        <w:pStyle w:val="2"/>
        <w:rPr>
          <w:rFonts w:hint="eastAsia" w:ascii="Times New Roman" w:hAnsi="Times New Roman" w:eastAsia="仿宋_GB2312" w:cs="Times New Roman"/>
          <w:color w:val="auto"/>
          <w:kern w:val="0"/>
          <w:sz w:val="32"/>
          <w:szCs w:val="32"/>
          <w:shd w:val="clear" w:color="auto" w:fill="FFFFFF"/>
          <w:lang w:val="en-US" w:eastAsia="zh-CN" w:bidi="ar-SA"/>
        </w:rPr>
      </w:pPr>
    </w:p>
    <w:p>
      <w:pPr>
        <w:rPr>
          <w:rFonts w:hint="eastAsia" w:ascii="Times New Roman" w:hAnsi="Times New Roman" w:eastAsia="仿宋_GB2312" w:cs="Times New Roman"/>
          <w:color w:val="auto"/>
          <w:kern w:val="0"/>
          <w:sz w:val="32"/>
          <w:szCs w:val="32"/>
          <w:shd w:val="clear" w:color="auto" w:fill="FFFFFF"/>
          <w:lang w:val="en-US" w:eastAsia="zh-CN" w:bidi="ar-SA"/>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附件3</w:t>
      </w:r>
    </w:p>
    <w:p>
      <w:pPr>
        <w:jc w:val="both"/>
        <w:rPr>
          <w:rFonts w:hint="eastAsia" w:ascii="仿宋_GB2312" w:hAnsi="仿宋_GB2312" w:eastAsia="仿宋_GB2312" w:cs="仿宋_GB2312"/>
          <w:b/>
          <w:bCs/>
          <w:sz w:val="24"/>
          <w:szCs w:val="24"/>
          <w:highlight w:val="none"/>
          <w:lang w:val="en-US"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年文登区政府债务决算的说明</w:t>
      </w:r>
    </w:p>
    <w:p>
      <w:pPr>
        <w:pStyle w:val="27"/>
        <w:adjustRightInd/>
        <w:spacing w:line="560" w:lineRule="exact"/>
        <w:ind w:firstLine="640" w:firstLineChars="200"/>
        <w:jc w:val="left"/>
        <w:rPr>
          <w:rFonts w:hint="eastAsia" w:ascii="黑体" w:hAnsi="黑体" w:eastAsia="黑体" w:cs="黑体"/>
          <w:szCs w:val="32"/>
        </w:rPr>
      </w:pPr>
      <w:r>
        <w:rPr>
          <w:rFonts w:hint="eastAsia" w:ascii="黑体" w:hAnsi="黑体" w:eastAsia="黑体" w:cs="黑体"/>
          <w:szCs w:val="32"/>
        </w:rPr>
        <w:t>一、202</w:t>
      </w:r>
      <w:r>
        <w:rPr>
          <w:rFonts w:hint="eastAsia" w:ascii="黑体" w:hAnsi="黑体" w:eastAsia="黑体" w:cs="黑体"/>
          <w:szCs w:val="32"/>
          <w:lang w:val="en-US" w:eastAsia="zh-CN"/>
        </w:rPr>
        <w:t>4</w:t>
      </w:r>
      <w:r>
        <w:rPr>
          <w:rFonts w:hint="eastAsia" w:ascii="黑体" w:hAnsi="黑体" w:eastAsia="黑体" w:cs="黑体"/>
          <w:szCs w:val="32"/>
        </w:rPr>
        <w:t xml:space="preserve">年文登区地方政府债务限额情况 </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经国务院批准，财政厅核定我区202</w:t>
      </w:r>
      <w:r>
        <w:rPr>
          <w:rFonts w:hint="eastAsia" w:ascii="仿宋_GB2312" w:hAnsi="仿宋_GB2312" w:cs="仿宋_GB2312"/>
          <w:szCs w:val="32"/>
          <w:lang w:val="en-US" w:eastAsia="zh-CN"/>
        </w:rPr>
        <w:t>4</w:t>
      </w:r>
      <w:r>
        <w:rPr>
          <w:rFonts w:hint="eastAsia" w:ascii="仿宋_GB2312" w:hAnsi="仿宋_GB2312" w:cs="仿宋_GB2312"/>
          <w:szCs w:val="32"/>
        </w:rPr>
        <w:t>年地方政府债务限额</w:t>
      </w:r>
      <w:r>
        <w:rPr>
          <w:rFonts w:hint="eastAsia" w:ascii="仿宋_GB2312" w:hAnsi="仿宋_GB2312" w:cs="仿宋_GB2312"/>
          <w:szCs w:val="32"/>
          <w:lang w:val="en-US" w:eastAsia="zh-CN"/>
        </w:rPr>
        <w:t>330.82</w:t>
      </w:r>
      <w:r>
        <w:rPr>
          <w:rFonts w:hint="eastAsia" w:ascii="仿宋_GB2312" w:hAnsi="仿宋_GB2312" w:cs="仿宋_GB2312"/>
          <w:szCs w:val="32"/>
        </w:rPr>
        <w:t>亿元。其中新增债务限额</w:t>
      </w:r>
      <w:r>
        <w:rPr>
          <w:rFonts w:hint="eastAsia" w:ascii="仿宋_GB2312" w:hAnsi="仿宋_GB2312" w:cs="仿宋_GB2312"/>
          <w:szCs w:val="32"/>
          <w:lang w:val="en-US" w:eastAsia="zh-CN"/>
        </w:rPr>
        <w:t>95.20</w:t>
      </w:r>
      <w:r>
        <w:rPr>
          <w:rFonts w:hint="eastAsia" w:ascii="仿宋_GB2312" w:hAnsi="仿宋_GB2312" w:cs="仿宋_GB2312"/>
          <w:szCs w:val="32"/>
        </w:rPr>
        <w:t>亿元。</w:t>
      </w:r>
    </w:p>
    <w:p>
      <w:pPr>
        <w:pStyle w:val="27"/>
        <w:adjustRightInd/>
        <w:spacing w:line="560" w:lineRule="exact"/>
        <w:ind w:firstLine="640" w:firstLineChars="200"/>
        <w:jc w:val="left"/>
        <w:rPr>
          <w:rFonts w:hint="eastAsia" w:ascii="仿宋_GB2312" w:hAnsi="仿宋_GB2312" w:cs="仿宋_GB2312"/>
          <w:szCs w:val="32"/>
        </w:rPr>
      </w:pPr>
      <w:r>
        <w:rPr>
          <w:rFonts w:hint="eastAsia" w:ascii="黑体" w:hAnsi="黑体" w:eastAsia="黑体" w:cs="黑体"/>
          <w:szCs w:val="32"/>
        </w:rPr>
        <w:t xml:space="preserve"> 二、202</w:t>
      </w:r>
      <w:r>
        <w:rPr>
          <w:rFonts w:hint="eastAsia" w:ascii="黑体" w:hAnsi="黑体" w:eastAsia="黑体" w:cs="黑体"/>
          <w:szCs w:val="32"/>
          <w:lang w:val="en-US" w:eastAsia="zh-CN"/>
        </w:rPr>
        <w:t>4</w:t>
      </w:r>
      <w:r>
        <w:rPr>
          <w:rFonts w:hint="eastAsia" w:ascii="黑体" w:hAnsi="黑体" w:eastAsia="黑体" w:cs="黑体"/>
          <w:szCs w:val="32"/>
        </w:rPr>
        <w:t>年文登区地方政府债务举借情况</w:t>
      </w:r>
      <w:r>
        <w:rPr>
          <w:rFonts w:hint="eastAsia" w:ascii="仿宋_GB2312" w:hAnsi="仿宋_GB2312" w:cs="仿宋_GB2312"/>
          <w:szCs w:val="32"/>
        </w:rPr>
        <w:t xml:space="preserve"> </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4</w:t>
      </w:r>
      <w:r>
        <w:rPr>
          <w:rFonts w:hint="eastAsia" w:ascii="仿宋_GB2312" w:hAnsi="仿宋_GB2312" w:cs="仿宋_GB2312"/>
          <w:szCs w:val="32"/>
        </w:rPr>
        <w:t>年文登区共发行政府债券</w:t>
      </w:r>
      <w:r>
        <w:rPr>
          <w:rFonts w:hint="eastAsia" w:ascii="仿宋_GB2312" w:hAnsi="仿宋_GB2312" w:cs="仿宋_GB2312"/>
          <w:szCs w:val="32"/>
          <w:lang w:val="en-US" w:eastAsia="zh-CN"/>
        </w:rPr>
        <w:t>76.42</w:t>
      </w:r>
      <w:r>
        <w:rPr>
          <w:rFonts w:hint="eastAsia" w:ascii="仿宋_GB2312" w:hAnsi="仿宋_GB2312" w:cs="仿宋_GB2312"/>
          <w:szCs w:val="32"/>
        </w:rPr>
        <w:t>亿元，其中：新增债券</w:t>
      </w:r>
      <w:r>
        <w:rPr>
          <w:rFonts w:hint="eastAsia" w:ascii="仿宋_GB2312" w:hAnsi="仿宋_GB2312" w:cs="仿宋_GB2312"/>
          <w:szCs w:val="32"/>
          <w:lang w:val="en-US" w:eastAsia="zh-CN"/>
        </w:rPr>
        <w:t>39.10</w:t>
      </w:r>
      <w:r>
        <w:rPr>
          <w:rFonts w:hint="eastAsia" w:ascii="仿宋_GB2312" w:hAnsi="仿宋_GB2312" w:cs="仿宋_GB2312"/>
          <w:szCs w:val="32"/>
        </w:rPr>
        <w:t>亿元，再融资债券</w:t>
      </w:r>
      <w:r>
        <w:rPr>
          <w:rFonts w:hint="eastAsia" w:ascii="仿宋_GB2312" w:hAnsi="仿宋_GB2312" w:cs="仿宋_GB2312"/>
          <w:szCs w:val="32"/>
          <w:lang w:val="en-US" w:eastAsia="zh-CN"/>
        </w:rPr>
        <w:t>37.32</w:t>
      </w:r>
      <w:r>
        <w:rPr>
          <w:rFonts w:hint="eastAsia" w:ascii="仿宋_GB2312" w:hAnsi="仿宋_GB2312" w:cs="仿宋_GB2312"/>
          <w:szCs w:val="32"/>
        </w:rPr>
        <w:t>亿元（22.1</w:t>
      </w:r>
      <w:r>
        <w:rPr>
          <w:rFonts w:hint="eastAsia" w:ascii="仿宋_GB2312" w:hAnsi="仿宋_GB2312" w:cs="仿宋_GB2312"/>
          <w:szCs w:val="32"/>
          <w:lang w:val="en-US" w:eastAsia="zh-CN"/>
        </w:rPr>
        <w:t>2亿元</w:t>
      </w:r>
      <w:r>
        <w:rPr>
          <w:rFonts w:hint="eastAsia" w:ascii="仿宋_GB2312" w:hAnsi="仿宋_GB2312" w:cs="仿宋_GB2312"/>
          <w:szCs w:val="32"/>
        </w:rPr>
        <w:t>用于偿还到期政府债券，不增加政府债务余额</w:t>
      </w:r>
      <w:r>
        <w:rPr>
          <w:rFonts w:hint="eastAsia" w:ascii="仿宋_GB2312" w:hAnsi="仿宋_GB2312" w:cs="仿宋_GB2312"/>
          <w:szCs w:val="32"/>
          <w:lang w:eastAsia="zh-CN"/>
        </w:rPr>
        <w:t>；</w:t>
      </w:r>
      <w:r>
        <w:rPr>
          <w:rFonts w:hint="eastAsia" w:ascii="仿宋_GB2312" w:hAnsi="仿宋_GB2312" w:cs="仿宋_GB2312"/>
          <w:szCs w:val="32"/>
          <w:lang w:val="en-US" w:eastAsia="zh-CN"/>
        </w:rPr>
        <w:t>15.20亿元用于置换存量政府债务，增加政府债务余额</w:t>
      </w:r>
      <w:r>
        <w:rPr>
          <w:rFonts w:hint="eastAsia" w:ascii="仿宋_GB2312" w:hAnsi="仿宋_GB2312" w:cs="仿宋_GB2312"/>
          <w:szCs w:val="32"/>
        </w:rPr>
        <w:t>）。截至202</w:t>
      </w:r>
      <w:r>
        <w:rPr>
          <w:rFonts w:hint="eastAsia" w:ascii="仿宋_GB2312" w:hAnsi="仿宋_GB2312" w:cs="仿宋_GB2312"/>
          <w:szCs w:val="32"/>
          <w:lang w:val="en-US" w:eastAsia="zh-CN"/>
        </w:rPr>
        <w:t>4</w:t>
      </w:r>
      <w:r>
        <w:rPr>
          <w:rFonts w:hint="eastAsia" w:ascii="仿宋_GB2312" w:hAnsi="仿宋_GB2312" w:cs="仿宋_GB2312"/>
          <w:szCs w:val="32"/>
        </w:rPr>
        <w:t>年底，全区政府债务余额</w:t>
      </w:r>
      <w:r>
        <w:rPr>
          <w:rFonts w:hint="eastAsia" w:ascii="仿宋_GB2312" w:hAnsi="仿宋_GB2312" w:cs="仿宋_GB2312"/>
          <w:szCs w:val="32"/>
          <w:lang w:val="en-US" w:eastAsia="zh-CN"/>
        </w:rPr>
        <w:t>287.78</w:t>
      </w:r>
      <w:r>
        <w:rPr>
          <w:rFonts w:hint="eastAsia" w:ascii="仿宋_GB2312" w:hAnsi="仿宋_GB2312" w:cs="仿宋_GB2312"/>
          <w:szCs w:val="32"/>
        </w:rPr>
        <w:t>亿元，严格控制在财政部核定限额之内。</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按照《国务院关于加强地方政府性债务管理的意见》（国发〔2014〕43号）、《财政部关于对地方政府债务实行限额管理的实施意见》（财预〔2015〕225号）和《财政部关于印发&lt;地方政府债务信息公开办法（试行）&gt;的通知》（财预〔2018〕209号）等规定，2018年历次发行政府债券举借政府债务的相关信息，均已按规定向社会公开。</w:t>
      </w:r>
    </w:p>
    <w:p>
      <w:pPr>
        <w:spacing w:line="560" w:lineRule="exact"/>
        <w:ind w:firstLine="640" w:firstLineChars="200"/>
        <w:jc w:val="left"/>
        <w:rPr>
          <w:rFonts w:hint="eastAsia" w:ascii="Times New Roman" w:hAnsi="Times New Roman" w:eastAsia="黑体" w:cs="Times New Roman"/>
        </w:rPr>
      </w:pPr>
      <w:r>
        <w:rPr>
          <w:rFonts w:hint="eastAsia" w:ascii="Times New Roman" w:hAnsi="Times New Roman" w:eastAsia="黑体" w:cs="Times New Roman"/>
        </w:rPr>
        <w:t>三、债券资金使用安排情况的说明</w:t>
      </w:r>
    </w:p>
    <w:p>
      <w:pPr>
        <w:spacing w:line="560" w:lineRule="exact"/>
        <w:ind w:firstLine="640" w:firstLineChars="200"/>
        <w:rPr>
          <w:rFonts w:ascii="仿宋_GB2312" w:hAnsi="仿宋_GB2312" w:eastAsia="仿宋_GB2312"/>
        </w:rPr>
      </w:pPr>
      <w:r>
        <w:rPr>
          <w:rFonts w:hint="eastAsia" w:ascii="仿宋_GB2312" w:hAnsi="仿宋_GB2312" w:eastAsia="仿宋_GB2312"/>
        </w:rPr>
        <w:t>将政府债务收支全面纳入预算管理，强化资金监管，提高债券资金效益。在新增债券资金使用方面，全部用于重点民生项目和在建公益性项目后续融资，其中农林水利建设支出</w:t>
      </w:r>
      <w:r>
        <w:rPr>
          <w:rFonts w:hint="eastAsia" w:ascii="仿宋_GB2312" w:hAnsi="仿宋_GB2312" w:eastAsia="仿宋_GB2312"/>
          <w:lang w:val="en-US" w:eastAsia="zh-CN"/>
        </w:rPr>
        <w:t>14.13</w:t>
      </w:r>
      <w:r>
        <w:rPr>
          <w:rFonts w:hint="eastAsia" w:ascii="仿宋_GB2312" w:hAnsi="仿宋_GB2312" w:eastAsia="仿宋_GB2312"/>
        </w:rPr>
        <w:t>亿元、市政建设</w:t>
      </w:r>
      <w:r>
        <w:rPr>
          <w:rFonts w:hint="eastAsia" w:ascii="仿宋_GB2312" w:hAnsi="仿宋_GB2312" w:eastAsia="仿宋_GB2312"/>
          <w:lang w:val="en-US" w:eastAsia="zh-CN"/>
        </w:rPr>
        <w:t>10.82</w:t>
      </w:r>
      <w:r>
        <w:rPr>
          <w:rFonts w:hint="eastAsia" w:ascii="仿宋_GB2312" w:hAnsi="仿宋_GB2312" w:eastAsia="仿宋_GB2312"/>
        </w:rPr>
        <w:t>亿元、</w:t>
      </w:r>
      <w:r>
        <w:rPr>
          <w:rFonts w:hint="eastAsia" w:ascii="仿宋_GB2312" w:hAnsi="仿宋_GB2312" w:eastAsia="仿宋_GB2312"/>
          <w:lang w:val="en-US" w:eastAsia="zh-CN"/>
        </w:rPr>
        <w:t>其他14.15亿元</w:t>
      </w:r>
      <w:r>
        <w:rPr>
          <w:rFonts w:hint="eastAsia" w:ascii="仿宋_GB2312" w:hAnsi="仿宋_GB2312" w:eastAsia="仿宋_GB2312"/>
        </w:rPr>
        <w:t>。</w:t>
      </w:r>
    </w:p>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附件4</w:t>
      </w:r>
    </w:p>
    <w:p>
      <w:pPr>
        <w:jc w:val="both"/>
        <w:rPr>
          <w:rFonts w:hint="eastAsia" w:ascii="仿宋_GB2312" w:hAnsi="仿宋_GB2312" w:eastAsia="仿宋_GB2312" w:cs="仿宋_GB2312"/>
          <w:b/>
          <w:bCs/>
          <w:sz w:val="24"/>
          <w:szCs w:val="24"/>
          <w:highlight w:val="none"/>
          <w:lang w:val="en-US" w:eastAsia="zh-CN"/>
        </w:rPr>
      </w:pPr>
    </w:p>
    <w:p>
      <w:pPr>
        <w:jc w:val="both"/>
        <w:rPr>
          <w:rFonts w:hint="eastAsia" w:ascii="仿宋_GB2312" w:hAnsi="仿宋_GB2312" w:eastAsia="仿宋_GB2312" w:cs="仿宋_GB2312"/>
          <w:sz w:val="32"/>
          <w:szCs w:val="32"/>
          <w:highlight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2024年三公经费分项数据及增减变化说明</w:t>
      </w:r>
    </w:p>
    <w:p>
      <w:pPr>
        <w:ind w:firstLine="640" w:firstLineChars="200"/>
        <w:jc w:val="both"/>
        <w:rPr>
          <w:rFonts w:hint="eastAsia" w:ascii="仿宋_GB2312" w:hAnsi="仿宋_GB2312" w:eastAsia="仿宋_GB2312"/>
        </w:rPr>
      </w:pPr>
      <w:r>
        <w:rPr>
          <w:rFonts w:hint="eastAsia" w:ascii="仿宋_GB2312" w:hAnsi="仿宋_GB2312" w:eastAsia="仿宋_GB2312"/>
        </w:rPr>
        <w:t>根据《预算法》以及现行相关规定，经</w:t>
      </w:r>
      <w:r>
        <w:rPr>
          <w:rFonts w:hint="eastAsia" w:ascii="仿宋_GB2312" w:hAnsi="仿宋_GB2312" w:eastAsia="仿宋_GB2312"/>
          <w:lang w:eastAsia="zh-CN"/>
        </w:rPr>
        <w:t>区财政局</w:t>
      </w:r>
      <w:r>
        <w:rPr>
          <w:rFonts w:hint="eastAsia" w:ascii="仿宋_GB2312" w:hAnsi="仿宋_GB2312" w:eastAsia="仿宋_GB2312"/>
        </w:rPr>
        <w:t>汇总，20</w:t>
      </w:r>
      <w:r>
        <w:rPr>
          <w:rFonts w:hint="eastAsia" w:ascii="仿宋_GB2312" w:hAnsi="仿宋_GB2312" w:eastAsia="仿宋_GB2312"/>
          <w:lang w:val="en-US" w:eastAsia="zh-CN"/>
        </w:rPr>
        <w:t>24</w:t>
      </w:r>
      <w:r>
        <w:rPr>
          <w:rFonts w:hint="eastAsia" w:ascii="仿宋_GB2312" w:hAnsi="仿宋_GB2312" w:eastAsia="仿宋_GB2312"/>
        </w:rPr>
        <w:t>年</w:t>
      </w:r>
      <w:r>
        <w:rPr>
          <w:rFonts w:hint="eastAsia" w:ascii="仿宋_GB2312" w:hAnsi="仿宋_GB2312" w:eastAsia="仿宋_GB2312"/>
          <w:lang w:eastAsia="zh-CN"/>
        </w:rPr>
        <w:t>区</w:t>
      </w:r>
      <w:r>
        <w:rPr>
          <w:rFonts w:hint="eastAsia" w:ascii="仿宋_GB2312" w:hAnsi="仿宋_GB2312" w:eastAsia="仿宋_GB2312"/>
        </w:rPr>
        <w:t>级决算部门，包括</w:t>
      </w:r>
      <w:r>
        <w:rPr>
          <w:rFonts w:hint="eastAsia" w:ascii="仿宋_GB2312" w:hAnsi="仿宋_GB2312" w:eastAsia="仿宋_GB2312"/>
          <w:lang w:eastAsia="zh-CN"/>
        </w:rPr>
        <w:t>区</w:t>
      </w:r>
      <w:r>
        <w:rPr>
          <w:rFonts w:hint="eastAsia" w:ascii="仿宋_GB2312" w:hAnsi="仿宋_GB2312" w:eastAsia="仿宋_GB2312"/>
        </w:rPr>
        <w:t>级行政单位、事业单位（含参照公务员法管理的事业单位）和其他单位使用当年一般公共预算财政拨款及以前年度结转资金安排的“三公”经费决算数为</w:t>
      </w:r>
      <w:r>
        <w:rPr>
          <w:rFonts w:hint="eastAsia" w:ascii="仿宋_GB2312" w:hAnsi="仿宋_GB2312" w:eastAsia="仿宋_GB2312"/>
          <w:lang w:val="en-US" w:eastAsia="zh-CN"/>
        </w:rPr>
        <w:t>788万</w:t>
      </w:r>
      <w:r>
        <w:rPr>
          <w:rFonts w:hint="eastAsia" w:ascii="仿宋_GB2312" w:hAnsi="仿宋_GB2312" w:eastAsia="仿宋_GB2312"/>
        </w:rPr>
        <w:t>元，比年初预算数减少</w:t>
      </w:r>
      <w:r>
        <w:rPr>
          <w:rFonts w:hint="eastAsia" w:ascii="仿宋_GB2312" w:hAnsi="仿宋_GB2312" w:eastAsia="仿宋_GB2312"/>
          <w:lang w:val="en-US" w:eastAsia="zh-CN"/>
        </w:rPr>
        <w:t>300万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级各部门贯彻落实中央八项规定精神，按照过紧日子和厉行勤俭节约的要求，从严控制“三公”经费支出。其中，因公出国（境）费</w:t>
      </w:r>
      <w:r>
        <w:rPr>
          <w:rFonts w:hint="eastAsia" w:ascii="仿宋_GB2312" w:hAnsi="仿宋_GB2312" w:eastAsia="仿宋_GB2312"/>
          <w:lang w:val="en-US" w:eastAsia="zh-CN"/>
        </w:rPr>
        <w:t>109万</w:t>
      </w:r>
      <w:r>
        <w:rPr>
          <w:rFonts w:hint="eastAsia" w:ascii="仿宋_GB2312" w:hAnsi="仿宋_GB2312" w:eastAsia="仿宋_GB2312"/>
        </w:rPr>
        <w:t>元，比年初预算数减少</w:t>
      </w:r>
      <w:r>
        <w:rPr>
          <w:rFonts w:hint="eastAsia" w:ascii="仿宋_GB2312" w:hAnsi="仿宋_GB2312" w:eastAsia="仿宋_GB2312"/>
          <w:lang w:val="en-US" w:eastAsia="zh-CN"/>
        </w:rPr>
        <w:t>5万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直有关部门因公出国（境）团组和人数减少；公务用车购置及运行维护费</w:t>
      </w:r>
      <w:r>
        <w:rPr>
          <w:rFonts w:hint="eastAsia" w:ascii="仿宋_GB2312" w:hAnsi="仿宋_GB2312" w:eastAsia="仿宋_GB2312"/>
          <w:lang w:val="en-US" w:eastAsia="zh-CN"/>
        </w:rPr>
        <w:t>600万</w:t>
      </w:r>
      <w:r>
        <w:rPr>
          <w:rFonts w:hint="eastAsia" w:ascii="仿宋_GB2312" w:hAnsi="仿宋_GB2312" w:eastAsia="仿宋_GB2312"/>
        </w:rPr>
        <w:t>元（其中公务用车运行维护费</w:t>
      </w:r>
      <w:r>
        <w:rPr>
          <w:rFonts w:hint="eastAsia" w:ascii="仿宋_GB2312" w:hAnsi="仿宋_GB2312" w:eastAsia="仿宋_GB2312"/>
          <w:lang w:val="en-US" w:eastAsia="zh-CN"/>
        </w:rPr>
        <w:t>600万</w:t>
      </w:r>
      <w:r>
        <w:rPr>
          <w:rFonts w:hint="eastAsia" w:ascii="仿宋_GB2312" w:hAnsi="仿宋_GB2312" w:eastAsia="仿宋_GB2312"/>
        </w:rPr>
        <w:t>元），比年初预算数减少</w:t>
      </w:r>
      <w:r>
        <w:rPr>
          <w:rFonts w:hint="eastAsia" w:ascii="仿宋_GB2312" w:hAnsi="仿宋_GB2312" w:eastAsia="仿宋_GB2312"/>
          <w:lang w:val="en-US" w:eastAsia="zh-CN"/>
        </w:rPr>
        <w:t>70万</w:t>
      </w:r>
      <w:r>
        <w:rPr>
          <w:rFonts w:hint="eastAsia" w:ascii="仿宋_GB2312" w:hAnsi="仿宋_GB2312" w:eastAsia="仿宋_GB2312"/>
        </w:rPr>
        <w:t>元，主要是各部门加强和规范公务用车配备使用管理，公务用车开支下降；公务接待费</w:t>
      </w:r>
      <w:r>
        <w:rPr>
          <w:rFonts w:hint="eastAsia" w:ascii="仿宋_GB2312" w:hAnsi="仿宋_GB2312" w:eastAsia="仿宋_GB2312"/>
          <w:lang w:val="en-US" w:eastAsia="zh-CN"/>
        </w:rPr>
        <w:t>79万</w:t>
      </w:r>
      <w:r>
        <w:rPr>
          <w:rFonts w:hint="eastAsia" w:ascii="仿宋_GB2312" w:hAnsi="仿宋_GB2312" w:eastAsia="仿宋_GB2312"/>
        </w:rPr>
        <w:t>元，比年初预算数减少</w:t>
      </w:r>
      <w:r>
        <w:rPr>
          <w:rFonts w:hint="eastAsia" w:ascii="仿宋_GB2312" w:hAnsi="仿宋_GB2312" w:eastAsia="仿宋_GB2312"/>
          <w:lang w:val="en-US" w:eastAsia="zh-CN"/>
        </w:rPr>
        <w:t>225万</w:t>
      </w:r>
      <w:r>
        <w:rPr>
          <w:rFonts w:hint="eastAsia" w:ascii="仿宋_GB2312" w:hAnsi="仿宋_GB2312" w:eastAsia="仿宋_GB2312"/>
        </w:rPr>
        <w:t xml:space="preserve">元，主要是各部门认真贯彻落实厉行节约有关规定，严控公务接待范围和开支标准，进一步压减相关支出。 </w:t>
      </w:r>
    </w:p>
    <w:p>
      <w:pPr>
        <w:ind w:firstLine="640" w:firstLineChars="200"/>
        <w:jc w:val="both"/>
        <w:rPr>
          <w:rFonts w:hint="eastAsia" w:ascii="仿宋_GB2312" w:hAnsi="仿宋_GB2312" w:eastAsia="仿宋_GB2312" w:cs="仿宋_GB2312"/>
          <w:sz w:val="32"/>
          <w:szCs w:val="32"/>
          <w:shd w:val="clear"/>
          <w:lang w:val="en-US" w:eastAsia="zh-CN"/>
        </w:rPr>
      </w:pPr>
      <w:r>
        <w:rPr>
          <w:rFonts w:hint="eastAsia" w:ascii="仿宋_GB2312" w:hAnsi="仿宋_GB2312" w:eastAsia="仿宋_GB2312"/>
        </w:rPr>
        <w:t>——注释与说明： 1、因公出国（境）费反映单位公务</w:t>
      </w:r>
      <w:r>
        <w:rPr>
          <w:rFonts w:hint="eastAsia" w:ascii="仿宋_GB2312" w:hAnsi="仿宋_GB2312" w:eastAsia="仿宋_GB2312" w:cs="仿宋_GB2312"/>
          <w:sz w:val="32"/>
          <w:szCs w:val="32"/>
        </w:rPr>
        <w:t>出国（境）的国际旅费、国外城市间交通费、住宿费、伙食费、培训费、公杂费等支出。据统计</w:t>
      </w:r>
      <w:r>
        <w:rPr>
          <w:rFonts w:hint="eastAsia" w:ascii="仿宋_GB2312" w:hAnsi="仿宋_GB2312" w:eastAsia="仿宋_GB2312" w:cs="仿宋_GB2312"/>
          <w:sz w:val="32"/>
          <w:szCs w:val="32"/>
          <w:shd w:val="clear"/>
        </w:rPr>
        <w:t>，20</w:t>
      </w:r>
      <w:r>
        <w:rPr>
          <w:rFonts w:hint="eastAsia" w:ascii="仿宋_GB2312" w:hAnsi="仿宋_GB2312" w:eastAsia="仿宋_GB2312" w:cs="仿宋_GB2312"/>
          <w:sz w:val="32"/>
          <w:szCs w:val="32"/>
          <w:shd w:val="clear"/>
          <w:lang w:val="en-US" w:eastAsia="zh-CN"/>
        </w:rPr>
        <w:t>24</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本级因公出国（境）团组与累计人次分别为</w:t>
      </w:r>
      <w:r>
        <w:rPr>
          <w:rFonts w:hint="eastAsia" w:ascii="仿宋_GB2312" w:hAnsi="仿宋_GB2312" w:eastAsia="仿宋_GB2312" w:cs="仿宋_GB2312"/>
          <w:sz w:val="32"/>
          <w:szCs w:val="32"/>
          <w:shd w:val="clear"/>
          <w:lang w:val="en-US" w:eastAsia="zh-CN"/>
        </w:rPr>
        <w:t>10</w:t>
      </w:r>
      <w:r>
        <w:rPr>
          <w:rFonts w:hint="eastAsia" w:ascii="仿宋_GB2312" w:hAnsi="仿宋_GB2312" w:eastAsia="仿宋_GB2312" w:cs="仿宋_GB2312"/>
          <w:sz w:val="32"/>
          <w:szCs w:val="32"/>
          <w:shd w:val="clear"/>
        </w:rPr>
        <w:t>个、</w:t>
      </w:r>
      <w:r>
        <w:rPr>
          <w:rFonts w:hint="eastAsia" w:ascii="仿宋_GB2312" w:hAnsi="仿宋_GB2312" w:eastAsia="仿宋_GB2312" w:cs="仿宋_GB2312"/>
          <w:sz w:val="32"/>
          <w:szCs w:val="32"/>
          <w:shd w:val="clear"/>
          <w:lang w:val="en-US" w:eastAsia="zh-CN"/>
        </w:rPr>
        <w:t>23</w:t>
      </w:r>
      <w:r>
        <w:rPr>
          <w:rFonts w:hint="eastAsia" w:ascii="仿宋_GB2312" w:hAnsi="仿宋_GB2312" w:eastAsia="仿宋_GB2312" w:cs="仿宋_GB2312"/>
          <w:sz w:val="32"/>
          <w:szCs w:val="32"/>
          <w:shd w:val="clear"/>
        </w:rPr>
        <w:t xml:space="preserve">人次。 </w:t>
      </w:r>
      <w:r>
        <w:rPr>
          <w:rFonts w:hint="eastAsia" w:ascii="仿宋_GB2312" w:hAnsi="仿宋_GB2312" w:eastAsia="仿宋_GB2312" w:cs="仿宋_GB2312"/>
          <w:sz w:val="32"/>
          <w:szCs w:val="32"/>
        </w:rPr>
        <w:t>2、据统</w:t>
      </w:r>
      <w:r>
        <w:rPr>
          <w:rFonts w:hint="eastAsia" w:ascii="仿宋_GB2312" w:hAnsi="仿宋_GB2312" w:eastAsia="仿宋_GB2312" w:cs="仿宋_GB2312"/>
          <w:sz w:val="32"/>
          <w:szCs w:val="32"/>
          <w:shd w:val="clear"/>
        </w:rPr>
        <w:t>计，20</w:t>
      </w:r>
      <w:r>
        <w:rPr>
          <w:rFonts w:hint="eastAsia" w:ascii="仿宋_GB2312" w:hAnsi="仿宋_GB2312" w:eastAsia="仿宋_GB2312" w:cs="仿宋_GB2312"/>
          <w:sz w:val="32"/>
          <w:szCs w:val="32"/>
          <w:shd w:val="clear"/>
          <w:lang w:val="en-US" w:eastAsia="zh-CN"/>
        </w:rPr>
        <w:t>24</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本级使用一般公共预算财政拨款开支运行维护费的公务用车保有量为</w:t>
      </w:r>
      <w:r>
        <w:rPr>
          <w:rFonts w:hint="eastAsia" w:ascii="仿宋_GB2312" w:hAnsi="仿宋_GB2312" w:eastAsia="仿宋_GB2312" w:cs="仿宋_GB2312"/>
          <w:sz w:val="32"/>
          <w:szCs w:val="32"/>
          <w:shd w:val="clear"/>
          <w:lang w:val="en-US" w:eastAsia="zh-CN"/>
        </w:rPr>
        <w:t>390</w:t>
      </w:r>
      <w:r>
        <w:rPr>
          <w:rFonts w:hint="eastAsia" w:ascii="仿宋_GB2312" w:hAnsi="仿宋_GB2312" w:eastAsia="仿宋_GB2312" w:cs="仿宋_GB2312"/>
          <w:sz w:val="32"/>
          <w:szCs w:val="32"/>
          <w:shd w:val="clear"/>
        </w:rPr>
        <w:t xml:space="preserve">辆。 </w:t>
      </w:r>
      <w:r>
        <w:rPr>
          <w:rFonts w:hint="eastAsia" w:ascii="仿宋_GB2312" w:hAnsi="仿宋_GB2312" w:eastAsia="仿宋_GB2312" w:cs="仿宋_GB2312"/>
          <w:sz w:val="32"/>
          <w:szCs w:val="32"/>
        </w:rPr>
        <w:t>3、公务接待费反映单位按规定开支的各类公务接待（含外宾接待）支出。据统计，</w:t>
      </w:r>
      <w:r>
        <w:rPr>
          <w:rFonts w:hint="eastAsia" w:ascii="仿宋_GB2312" w:hAnsi="仿宋_GB2312" w:eastAsia="仿宋_GB2312" w:cs="仿宋_GB2312"/>
          <w:sz w:val="32"/>
          <w:szCs w:val="32"/>
          <w:shd w:val="clear"/>
        </w:rPr>
        <w:t>20</w:t>
      </w:r>
      <w:r>
        <w:rPr>
          <w:rFonts w:hint="eastAsia" w:ascii="仿宋_GB2312" w:hAnsi="仿宋_GB2312" w:eastAsia="仿宋_GB2312" w:cs="仿宋_GB2312"/>
          <w:sz w:val="32"/>
          <w:szCs w:val="32"/>
          <w:shd w:val="clear"/>
          <w:lang w:val="en-US" w:eastAsia="zh-CN"/>
        </w:rPr>
        <w:t>24</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本级公务接待批次与累计人次分别为</w:t>
      </w:r>
      <w:r>
        <w:rPr>
          <w:rFonts w:hint="eastAsia" w:ascii="仿宋_GB2312" w:hAnsi="仿宋_GB2312" w:eastAsia="仿宋_GB2312" w:cs="仿宋_GB2312"/>
          <w:sz w:val="32"/>
          <w:szCs w:val="32"/>
          <w:shd w:val="clear"/>
          <w:lang w:val="en-US" w:eastAsia="zh-CN"/>
        </w:rPr>
        <w:t>642</w:t>
      </w:r>
      <w:r>
        <w:rPr>
          <w:rFonts w:hint="eastAsia" w:ascii="仿宋_GB2312" w:hAnsi="仿宋_GB2312" w:eastAsia="仿宋_GB2312" w:cs="仿宋_GB2312"/>
          <w:sz w:val="32"/>
          <w:szCs w:val="32"/>
          <w:shd w:val="clear"/>
        </w:rPr>
        <w:t>批次、</w:t>
      </w:r>
      <w:r>
        <w:rPr>
          <w:rFonts w:hint="eastAsia" w:ascii="仿宋_GB2312" w:hAnsi="仿宋_GB2312" w:eastAsia="仿宋_GB2312" w:cs="仿宋_GB2312"/>
          <w:sz w:val="32"/>
          <w:szCs w:val="32"/>
          <w:shd w:val="clear"/>
          <w:lang w:val="en-US" w:eastAsia="zh-CN"/>
        </w:rPr>
        <w:t>6337</w:t>
      </w:r>
      <w:r>
        <w:rPr>
          <w:rFonts w:hint="eastAsia" w:ascii="仿宋_GB2312" w:hAnsi="仿宋_GB2312" w:eastAsia="仿宋_GB2312" w:cs="仿宋_GB2312"/>
          <w:sz w:val="32"/>
          <w:szCs w:val="32"/>
          <w:shd w:val="clear"/>
        </w:rPr>
        <w:t>人次。</w:t>
      </w:r>
    </w:p>
    <w:p>
      <w:pPr>
        <w:jc w:val="both"/>
        <w:rPr>
          <w:rFonts w:hint="eastAsia"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pStyle w:val="2"/>
        <w:rPr>
          <w:rFonts w:hint="eastAsia"/>
          <w:lang w:val="en-US" w:eastAsia="zh-CN"/>
        </w:rPr>
        <w:sectPr>
          <w:pgSz w:w="11906" w:h="16838"/>
          <w:pgMar w:top="1440" w:right="1803" w:bottom="1440" w:left="1803" w:header="737" w:footer="851" w:gutter="0"/>
          <w:pgNumType w:fmt="decimal"/>
          <w:cols w:space="720" w:num="1"/>
          <w:docGrid w:type="lines" w:linePitch="408" w:charSpace="0"/>
        </w:sectPr>
      </w:pPr>
    </w:p>
    <w:bookmarkEnd w:id="48"/>
    <w:bookmarkEnd w:id="136"/>
    <w:bookmarkEnd w:id="137"/>
    <w:bookmarkEnd w:id="138"/>
    <w:bookmarkEnd w:id="139"/>
    <w:bookmarkEnd w:id="140"/>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附件5</w:t>
      </w:r>
    </w:p>
    <w:p>
      <w:pPr>
        <w:pStyle w:val="2"/>
        <w:rPr>
          <w:rFonts w:hint="eastAsia"/>
          <w:lang w:val="en-US" w:eastAsia="zh-CN"/>
        </w:rPr>
      </w:pPr>
    </w:p>
    <w:p>
      <w:pPr>
        <w:spacing w:line="700" w:lineRule="exact"/>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20</w:t>
      </w:r>
      <w:r>
        <w:rPr>
          <w:rFonts w:hint="eastAsia" w:ascii="方正小标宋简体" w:eastAsia="方正小标宋简体"/>
          <w:sz w:val="44"/>
          <w:szCs w:val="44"/>
          <w:highlight w:val="none"/>
          <w:lang w:val="en-US" w:eastAsia="zh-CN"/>
        </w:rPr>
        <w:t>24</w:t>
      </w:r>
      <w:r>
        <w:rPr>
          <w:rFonts w:hint="eastAsia" w:ascii="方正小标宋简体" w:eastAsia="方正小标宋简体"/>
          <w:sz w:val="44"/>
          <w:szCs w:val="44"/>
          <w:highlight w:val="none"/>
        </w:rPr>
        <w:t>年预算绩效工作开展情况说明</w:t>
      </w:r>
    </w:p>
    <w:p>
      <w:pPr>
        <w:spacing w:line="560" w:lineRule="exact"/>
        <w:rPr>
          <w:rFonts w:hint="eastAsia" w:ascii="Times New Roman" w:hAnsi="Times New Roman" w:eastAsia="仿宋_GB2312"/>
          <w:sz w:val="32"/>
          <w:szCs w:val="32"/>
        </w:rPr>
      </w:pPr>
    </w:p>
    <w:p>
      <w:pPr>
        <w:pStyle w:val="51"/>
        <w:keepNext w:val="0"/>
        <w:keepLines w:val="0"/>
        <w:pageBreakBefore w:val="0"/>
        <w:kinsoku/>
        <w:wordWrap/>
        <w:overflowPunct/>
        <w:topLinePunct w:val="0"/>
        <w:bidi w:val="0"/>
        <w:snapToGrid/>
        <w:spacing w:after="0" w:line="560" w:lineRule="exact"/>
        <w:ind w:firstLine="640" w:firstLineChars="200"/>
        <w:textAlignment w:val="auto"/>
        <w:rPr>
          <w:rFonts w:ascii="仿宋_GB2312" w:eastAsia="仿宋_GB2312"/>
          <w:sz w:val="32"/>
          <w:szCs w:val="32"/>
        </w:rPr>
      </w:pPr>
      <w:r>
        <w:rPr>
          <w:rFonts w:hint="eastAsia" w:ascii="黑体" w:hAnsi="黑体" w:eastAsia="黑体" w:cs="仿宋_GB2312"/>
          <w:color w:val="auto"/>
          <w:spacing w:val="0"/>
          <w:kern w:val="2"/>
          <w:sz w:val="32"/>
          <w:szCs w:val="32"/>
          <w:lang w:val="en-US" w:eastAsia="zh-CN" w:bidi="ar-SA"/>
        </w:rPr>
        <w:t>一、扎实开展事前绩效评估，成效显著。</w:t>
      </w:r>
      <w:r>
        <w:rPr>
          <w:rFonts w:hint="eastAsia" w:ascii="Times New Roman" w:hAnsi="Times New Roman" w:eastAsia="仿宋_GB2312" w:cs="Times New Roman"/>
          <w:color w:val="auto"/>
          <w:spacing w:val="0"/>
          <w:kern w:val="2"/>
          <w:sz w:val="32"/>
          <w:szCs w:val="32"/>
          <w:lang w:val="en-US" w:eastAsia="zh-CN" w:bidi="ar-SA"/>
        </w:rPr>
        <w:t>通过完善事前评估制度、构建事前评估机制、创新事前评估方法，对所有新增政策项目开展事前绩效评估，为加强预算管理、提高财政资金使用效益把好第一关。202</w:t>
      </w:r>
      <w:r>
        <w:rPr>
          <w:rFonts w:hint="eastAsia" w:eastAsia="仿宋_GB2312" w:cs="Times New Roman"/>
          <w:color w:val="auto"/>
          <w:spacing w:val="0"/>
          <w:kern w:val="2"/>
          <w:sz w:val="32"/>
          <w:szCs w:val="32"/>
          <w:lang w:val="en-US" w:eastAsia="zh-CN" w:bidi="ar-SA"/>
        </w:rPr>
        <w:t>4</w:t>
      </w:r>
      <w:r>
        <w:rPr>
          <w:rFonts w:hint="eastAsia" w:ascii="Times New Roman" w:hAnsi="Times New Roman" w:eastAsia="仿宋_GB2312" w:cs="Times New Roman"/>
          <w:color w:val="auto"/>
          <w:spacing w:val="0"/>
          <w:kern w:val="2"/>
          <w:sz w:val="32"/>
          <w:szCs w:val="32"/>
          <w:lang w:val="en-US" w:eastAsia="zh-CN" w:bidi="ar-SA"/>
        </w:rPr>
        <w:t>年度预算申报中，共评估审核项目</w:t>
      </w:r>
      <w:r>
        <w:rPr>
          <w:rFonts w:hint="eastAsia" w:eastAsia="仿宋_GB2312" w:cs="Times New Roman"/>
          <w:color w:val="auto"/>
          <w:spacing w:val="0"/>
          <w:kern w:val="2"/>
          <w:sz w:val="32"/>
          <w:szCs w:val="32"/>
          <w:lang w:val="en-US" w:eastAsia="zh-CN" w:bidi="ar-SA"/>
        </w:rPr>
        <w:t>（政策）275</w:t>
      </w:r>
      <w:r>
        <w:rPr>
          <w:rFonts w:hint="eastAsia" w:ascii="Times New Roman" w:hAnsi="Times New Roman" w:eastAsia="仿宋_GB2312" w:cs="Times New Roman"/>
          <w:color w:val="auto"/>
          <w:spacing w:val="0"/>
          <w:kern w:val="2"/>
          <w:sz w:val="32"/>
          <w:szCs w:val="32"/>
          <w:lang w:val="en-US" w:eastAsia="zh-CN" w:bidi="ar-SA"/>
        </w:rPr>
        <w:t>个，</w:t>
      </w:r>
      <w:r>
        <w:rPr>
          <w:rFonts w:hint="eastAsia" w:eastAsia="仿宋_GB2312"/>
          <w:sz w:val="32"/>
        </w:rPr>
        <w:t>涉及金额</w:t>
      </w:r>
      <w:r>
        <w:rPr>
          <w:rFonts w:hint="eastAsia" w:eastAsia="仿宋_GB2312" w:cs="Times New Roman"/>
          <w:sz w:val="32"/>
          <w:lang w:val="en-US" w:eastAsia="zh-CN"/>
        </w:rPr>
        <w:t>63518.88</w:t>
      </w:r>
      <w:r>
        <w:rPr>
          <w:rFonts w:hint="eastAsia" w:eastAsia="仿宋_GB2312"/>
          <w:sz w:val="32"/>
          <w:lang w:val="en-US" w:eastAsia="zh-CN"/>
        </w:rPr>
        <w:t>万</w:t>
      </w:r>
      <w:r>
        <w:rPr>
          <w:rFonts w:hint="eastAsia" w:eastAsia="仿宋_GB2312"/>
          <w:sz w:val="32"/>
        </w:rPr>
        <w:t>元，评估建议压减预算</w:t>
      </w:r>
      <w:r>
        <w:rPr>
          <w:rFonts w:hint="eastAsia" w:eastAsia="仿宋_GB2312" w:cs="Times New Roman"/>
          <w:sz w:val="32"/>
          <w:lang w:val="en-US" w:eastAsia="zh-CN"/>
        </w:rPr>
        <w:t>40996.36</w:t>
      </w:r>
      <w:r>
        <w:rPr>
          <w:rFonts w:hint="eastAsia" w:eastAsia="仿宋_GB2312"/>
          <w:sz w:val="32"/>
          <w:lang w:val="en-US" w:eastAsia="zh-CN"/>
        </w:rPr>
        <w:t>万</w:t>
      </w:r>
      <w:r>
        <w:rPr>
          <w:rFonts w:hint="eastAsia" w:eastAsia="仿宋_GB2312"/>
          <w:sz w:val="32"/>
        </w:rPr>
        <w:t>元</w:t>
      </w:r>
      <w:r>
        <w:rPr>
          <w:rFonts w:hint="eastAsia" w:eastAsia="仿宋_GB2312"/>
          <w:sz w:val="32"/>
          <w:lang w:eastAsia="zh-CN"/>
        </w:rPr>
        <w:t>。针对后续新增补充预算项目（政策），即报即审，对拟出台</w:t>
      </w:r>
      <w:r>
        <w:rPr>
          <w:rFonts w:hint="eastAsia" w:eastAsia="仿宋_GB2312"/>
          <w:sz w:val="32"/>
          <w:lang w:val="en-US" w:eastAsia="zh-CN"/>
        </w:rPr>
        <w:t>2024年</w:t>
      </w:r>
      <w:r>
        <w:rPr>
          <w:rFonts w:hint="eastAsia" w:eastAsia="仿宋_GB2312"/>
          <w:sz w:val="32"/>
          <w:lang w:eastAsia="zh-CN"/>
        </w:rPr>
        <w:t>服务业惠企政策、军民融合惠企政策开展绩效评估并出具审核评估建议，作为政策调整优化的重要依据。</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黑体" w:hAnsi="黑体" w:eastAsia="黑体" w:cs="仿宋_GB2312"/>
          <w:color w:val="auto"/>
          <w:spacing w:val="0"/>
          <w:kern w:val="2"/>
          <w:sz w:val="32"/>
          <w:szCs w:val="32"/>
          <w:lang w:val="en-US" w:eastAsia="zh-CN" w:bidi="ar-SA"/>
        </w:rPr>
        <w:t>二、严把绩效目标审核关，提升绩效管理水平。</w:t>
      </w:r>
      <w:r>
        <w:rPr>
          <w:rFonts w:ascii="仿宋_GB2312" w:eastAsia="仿宋_GB2312"/>
          <w:sz w:val="32"/>
          <w:szCs w:val="32"/>
        </w:rPr>
        <w:t>按照“谁申请资金，谁设定目标”的原则</w:t>
      </w:r>
      <w:r>
        <w:rPr>
          <w:rFonts w:hint="eastAsia" w:ascii="仿宋_GB2312" w:eastAsia="仿宋_GB2312"/>
          <w:sz w:val="32"/>
          <w:szCs w:val="32"/>
        </w:rPr>
        <w:t>，</w:t>
      </w:r>
      <w:r>
        <w:rPr>
          <w:rFonts w:hint="eastAsia" w:ascii="仿宋_GB2312" w:hAnsi="仿宋_GB2312" w:eastAsia="仿宋_GB2312" w:cs="仿宋_GB2312"/>
          <w:sz w:val="32"/>
          <w:szCs w:val="32"/>
        </w:rPr>
        <w:t>我们编制了202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绩效目标编报手册、填报说明、绩效目标表模板，实行预算单位填报、业务科室初审、绩效科复审的工作制度，细化量化绩效目标，提升绩效目标的科学性、合理性，通过电话、网上交流、现场指导等方式进行沟通，对绩效目标填报内容逐项核对修改，应审尽审。今年以来，组织各部门开展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年度预算项目绩效目标填报工作，对</w:t>
      </w:r>
      <w:r>
        <w:rPr>
          <w:rFonts w:hint="eastAsia" w:ascii="仿宋_GB2312" w:hAnsi="仿宋_GB2312" w:eastAsia="仿宋_GB2312" w:cs="仿宋_GB2312"/>
          <w:sz w:val="32"/>
          <w:szCs w:val="32"/>
          <w:lang w:val="en-US" w:eastAsia="zh-CN"/>
        </w:rPr>
        <w:t>614</w:t>
      </w:r>
      <w:r>
        <w:rPr>
          <w:rFonts w:hint="eastAsia" w:ascii="仿宋_GB2312" w:hAnsi="仿宋_GB2312" w:eastAsia="仿宋_GB2312" w:cs="仿宋_GB2312"/>
          <w:sz w:val="32"/>
          <w:szCs w:val="32"/>
        </w:rPr>
        <w:t>个项目的绩效目标进行审核，绩效目标质量得到大幅提升，</w:t>
      </w:r>
      <w:r>
        <w:rPr>
          <w:rFonts w:hint="eastAsia" w:ascii="仿宋_GB2312" w:eastAsia="仿宋_GB2312"/>
          <w:sz w:val="32"/>
          <w:szCs w:val="32"/>
        </w:rPr>
        <w:t>覆盖率达到100%。同时</w:t>
      </w:r>
      <w:r>
        <w:rPr>
          <w:rFonts w:hint="eastAsia" w:ascii="仿宋_GB2312" w:hAnsi="仿宋_GB2312" w:eastAsia="仿宋_GB2312" w:cs="仿宋_GB2312"/>
          <w:sz w:val="32"/>
          <w:szCs w:val="32"/>
        </w:rPr>
        <w:t>推进绩效目标信息与预算同步批复、下达、公开，主动接受社会和公众监督，进一步增强财政资金使用透明度。</w:t>
      </w:r>
    </w:p>
    <w:p>
      <w:pPr>
        <w:pStyle w:val="2"/>
        <w:keepNext w:val="0"/>
        <w:keepLines w:val="0"/>
        <w:pageBreakBefore w:val="0"/>
        <w:kinsoku/>
        <w:wordWrap/>
        <w:overflowPunct/>
        <w:topLinePunct w:val="0"/>
        <w:bidi w:val="0"/>
        <w:snapToGrid/>
        <w:spacing w:line="560" w:lineRule="exact"/>
        <w:ind w:firstLine="675"/>
        <w:textAlignment w:val="auto"/>
        <w:rPr>
          <w:rFonts w:hint="eastAsia" w:ascii="仿宋_GB2312" w:hAnsi="仿宋_GB2312" w:eastAsia="仿宋_GB2312" w:cs="仿宋_GB2312"/>
          <w:color w:val="auto"/>
          <w:spacing w:val="-3"/>
          <w:kern w:val="0"/>
          <w:sz w:val="32"/>
          <w:szCs w:val="32"/>
          <w:lang w:val="en-AU" w:eastAsia="en-US" w:bidi="ar-SA"/>
        </w:rPr>
      </w:pPr>
      <w:r>
        <w:rPr>
          <w:rFonts w:hint="eastAsia" w:ascii="黑体" w:hAnsi="黑体" w:eastAsia="黑体" w:cs="仿宋_GB2312"/>
          <w:color w:val="auto"/>
          <w:spacing w:val="0"/>
          <w:kern w:val="2"/>
          <w:sz w:val="32"/>
          <w:szCs w:val="32"/>
          <w:lang w:val="en-US" w:eastAsia="zh-CN" w:bidi="ar-SA"/>
        </w:rPr>
        <w:t>三、督导预算单位开展2023年度部门预算项目绩效自评工作，提升项目绩效自评质量。</w:t>
      </w:r>
      <w:r>
        <w:rPr>
          <w:rFonts w:hint="eastAsia" w:ascii="仿宋_GB2312" w:hAnsi="仿宋_GB2312" w:eastAsia="仿宋_GB2312" w:cs="仿宋_GB2312"/>
          <w:color w:val="auto"/>
          <w:spacing w:val="-3"/>
          <w:kern w:val="0"/>
          <w:sz w:val="32"/>
          <w:szCs w:val="32"/>
          <w:lang w:val="en-AU" w:eastAsia="en-US" w:bidi="ar-SA"/>
        </w:rPr>
        <w:t>按照“谁支出、谁自评”的要求，通过设置绩效自评表、绩效报告模板，要求所有区直部门对202</w:t>
      </w:r>
      <w:r>
        <w:rPr>
          <w:rFonts w:hint="eastAsia" w:ascii="仿宋_GB2312" w:hAnsi="仿宋_GB2312" w:eastAsia="仿宋_GB2312" w:cs="仿宋_GB2312"/>
          <w:color w:val="auto"/>
          <w:spacing w:val="-3"/>
          <w:kern w:val="0"/>
          <w:sz w:val="32"/>
          <w:szCs w:val="32"/>
          <w:lang w:val="en-US" w:eastAsia="zh-CN" w:bidi="ar-SA"/>
        </w:rPr>
        <w:t>3</w:t>
      </w:r>
      <w:r>
        <w:rPr>
          <w:rFonts w:hint="eastAsia" w:ascii="仿宋_GB2312" w:hAnsi="仿宋_GB2312" w:eastAsia="仿宋_GB2312" w:cs="仿宋_GB2312"/>
          <w:color w:val="auto"/>
          <w:spacing w:val="-3"/>
          <w:kern w:val="0"/>
          <w:sz w:val="32"/>
          <w:szCs w:val="32"/>
          <w:lang w:val="en-AU" w:eastAsia="en-US" w:bidi="ar-SA"/>
        </w:rPr>
        <w:t>年度7</w:t>
      </w:r>
      <w:r>
        <w:rPr>
          <w:rFonts w:hint="eastAsia" w:ascii="仿宋_GB2312" w:hAnsi="仿宋_GB2312" w:eastAsia="仿宋_GB2312" w:cs="仿宋_GB2312"/>
          <w:color w:val="auto"/>
          <w:spacing w:val="-3"/>
          <w:kern w:val="0"/>
          <w:sz w:val="32"/>
          <w:szCs w:val="32"/>
          <w:lang w:val="en-US" w:eastAsia="zh-CN" w:bidi="ar-SA"/>
        </w:rPr>
        <w:t>29</w:t>
      </w:r>
      <w:r>
        <w:rPr>
          <w:rFonts w:hint="eastAsia" w:ascii="仿宋_GB2312" w:hAnsi="仿宋_GB2312" w:eastAsia="仿宋_GB2312" w:cs="仿宋_GB2312"/>
          <w:color w:val="auto"/>
          <w:spacing w:val="-3"/>
          <w:kern w:val="0"/>
          <w:sz w:val="32"/>
          <w:szCs w:val="32"/>
          <w:lang w:val="en-AU" w:eastAsia="en-US" w:bidi="ar-SA"/>
        </w:rPr>
        <w:t>个预算项目全面开展绩效自评，</w:t>
      </w:r>
      <w:r>
        <w:rPr>
          <w:rFonts w:hint="eastAsia" w:ascii="仿宋_GB2312" w:hAnsi="仿宋_GB2312" w:eastAsia="仿宋_GB2312" w:cs="仿宋_GB2312"/>
          <w:color w:val="auto"/>
          <w:spacing w:val="-3"/>
          <w:kern w:val="0"/>
          <w:sz w:val="32"/>
          <w:szCs w:val="32"/>
          <w:lang w:val="en-AU" w:eastAsia="zh-CN" w:bidi="ar-SA"/>
        </w:rPr>
        <w:t>并要求各部门选择至少</w:t>
      </w:r>
      <w:r>
        <w:rPr>
          <w:rFonts w:hint="eastAsia" w:ascii="仿宋_GB2312" w:hAnsi="仿宋_GB2312" w:eastAsia="仿宋_GB2312" w:cs="仿宋_GB2312"/>
          <w:color w:val="auto"/>
          <w:spacing w:val="-3"/>
          <w:kern w:val="0"/>
          <w:sz w:val="32"/>
          <w:szCs w:val="32"/>
          <w:lang w:val="en-US" w:eastAsia="zh-CN" w:bidi="ar-SA"/>
        </w:rPr>
        <w:t>1个重点项目出具部门重点评价报告，</w:t>
      </w:r>
      <w:r>
        <w:rPr>
          <w:rFonts w:hint="eastAsia" w:ascii="仿宋_GB2312" w:hAnsi="仿宋_GB2312" w:eastAsia="仿宋_GB2312" w:cs="仿宋_GB2312"/>
          <w:color w:val="auto"/>
          <w:spacing w:val="-3"/>
          <w:kern w:val="0"/>
          <w:sz w:val="32"/>
          <w:szCs w:val="32"/>
          <w:lang w:val="en-AU" w:eastAsia="en-US" w:bidi="ar-SA"/>
        </w:rPr>
        <w:t>单位绩效自评情况作为年度考核与预算安排的重要依据。</w:t>
      </w:r>
      <w:r>
        <w:rPr>
          <w:rFonts w:hint="eastAsia" w:ascii="仿宋_GB2312" w:hAnsi="仿宋_GB2312" w:eastAsia="仿宋_GB2312" w:cs="仿宋_GB2312"/>
          <w:color w:val="auto"/>
          <w:spacing w:val="-3"/>
          <w:kern w:val="0"/>
          <w:sz w:val="32"/>
          <w:szCs w:val="32"/>
          <w:lang w:val="en-AU" w:eastAsia="zh-CN" w:bidi="ar-SA"/>
        </w:rPr>
        <w:t>通过</w:t>
      </w:r>
      <w:r>
        <w:rPr>
          <w:rFonts w:hint="eastAsia" w:ascii="仿宋_GB2312" w:hAnsi="仿宋_GB2312" w:eastAsia="仿宋_GB2312" w:cs="仿宋_GB2312"/>
          <w:color w:val="auto"/>
          <w:spacing w:val="-3"/>
          <w:kern w:val="0"/>
          <w:sz w:val="32"/>
          <w:szCs w:val="32"/>
          <w:lang w:val="en-AU" w:eastAsia="en-US" w:bidi="ar-SA"/>
        </w:rPr>
        <w:t>收集、整理、审核各单位项目绩效自评表与自评报告，对不符合要求的单位提出整改要求并限期改正，确保绩效自评资料准确合规，项目绩效自评覆盖率达100%。</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pPr>
      <w:r>
        <w:rPr>
          <w:rFonts w:hint="eastAsia" w:ascii="黑体" w:hAnsi="黑体" w:eastAsia="黑体" w:cs="仿宋_GB2312"/>
          <w:color w:val="auto"/>
          <w:spacing w:val="0"/>
          <w:kern w:val="2"/>
          <w:sz w:val="32"/>
          <w:szCs w:val="32"/>
          <w:lang w:val="en-US" w:eastAsia="zh-CN" w:bidi="ar-SA"/>
        </w:rPr>
        <w:t>四、全面推进部门整体绩效管理，开展2023年度部门整体绩效重点评价。</w:t>
      </w:r>
      <w:r>
        <w:rPr>
          <w:rFonts w:hint="eastAsia" w:ascii="仿宋_GB2312" w:hAnsi="Times New Roman" w:eastAsia="仿宋_GB2312"/>
          <w:sz w:val="32"/>
          <w:szCs w:val="32"/>
        </w:rPr>
        <w:t>将部门整体绩效管理范围扩展到全部区直部门，完成所有区直部门202</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年部门整体绩效目标表的编制，并选取</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个部门开展202</w:t>
      </w:r>
      <w:r>
        <w:rPr>
          <w:rFonts w:hint="eastAsia" w:ascii="仿宋_GB2312" w:hAnsi="Times New Roman" w:eastAsia="仿宋_GB2312"/>
          <w:sz w:val="32"/>
          <w:szCs w:val="32"/>
          <w:lang w:val="en-US" w:eastAsia="zh-CN"/>
        </w:rPr>
        <w:t>3</w:t>
      </w:r>
      <w:r>
        <w:rPr>
          <w:rFonts w:hint="eastAsia" w:ascii="仿宋_GB2312" w:hAnsi="Times New Roman" w:eastAsia="仿宋_GB2312"/>
          <w:sz w:val="32"/>
          <w:szCs w:val="32"/>
        </w:rPr>
        <w:t>年度整体绩效重点评价，</w:t>
      </w:r>
      <w:r>
        <w:rPr>
          <w:rFonts w:hint="eastAsia" w:ascii="仿宋_GB2312" w:eastAsia="仿宋_GB2312"/>
          <w:color w:val="000000" w:themeColor="text1"/>
          <w:sz w:val="32"/>
          <w:szCs w:val="32"/>
          <w14:textFill>
            <w14:solidFill>
              <w14:schemeClr w14:val="tx1"/>
            </w14:solidFill>
          </w14:textFill>
        </w:rPr>
        <w:t>从运行成本、管理效率、履职效能、社会效应和服务对象满意度等方面入手，综合衡量部门和单位整体及核心业务实施效果，利用预算约束，强化结果应用，</w:t>
      </w:r>
      <w:r>
        <w:rPr>
          <w:rFonts w:hint="eastAsia" w:ascii="仿宋_GB2312" w:hAnsi="Times New Roman" w:eastAsia="仿宋_GB2312"/>
          <w:sz w:val="32"/>
          <w:szCs w:val="32"/>
        </w:rPr>
        <w:t>部门整体绩效管理覆盖率达100%。</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仿宋_GB2312"/>
          <w:color w:val="auto"/>
          <w:spacing w:val="0"/>
          <w:kern w:val="2"/>
          <w:sz w:val="32"/>
          <w:szCs w:val="32"/>
          <w:lang w:val="en-US" w:eastAsia="zh-CN" w:bidi="ar-SA"/>
        </w:rPr>
        <w:t>五、重点项目评价实施全过程跟踪问效，建立以满足个性化需求为导向的全应用重点绩效评价机制。</w:t>
      </w:r>
      <w:r>
        <w:rPr>
          <w:rFonts w:hint="eastAsia" w:ascii="Times New Roman" w:hAnsi="Times New Roman" w:eastAsia="仿宋_GB2312" w:cs="Times New Roman"/>
          <w:color w:val="auto"/>
          <w:spacing w:val="0"/>
          <w:kern w:val="2"/>
          <w:sz w:val="32"/>
          <w:szCs w:val="32"/>
          <w:lang w:val="en-US" w:eastAsia="zh-CN" w:bidi="ar-SA"/>
        </w:rPr>
        <w:t>评价过程中实行第三方签到制度，通过查阅资料、实地调研、现场答辩等形式，财政全过程参与绩效评价工作，确保绩效评价质量。绩效评价结果全部以项目绩效评价反馈意见书的形式发送至财政支出科室与项目单位，作为预算安排、改进管理、政策完善的重要依据。</w:t>
      </w:r>
      <w:r>
        <w:rPr>
          <w:rFonts w:hint="eastAsia" w:ascii="仿宋_GB2312" w:hAnsi="仿宋_GB2312" w:eastAsia="仿宋_GB2312" w:cs="仿宋_GB2312"/>
          <w:sz w:val="32"/>
          <w:szCs w:val="32"/>
          <w:lang w:val="en-US" w:eastAsia="zh-CN"/>
        </w:rPr>
        <w:t>2024年共完成19个项目（政策）重点绩效评价和5个部门整体绩效重点评价，评价结果全面应用于2025年预算编制和改进管理，优化调整预算8300多万元，优化调整支出政策10余项，绩效评价结果应用取得显著成效。</w:t>
      </w:r>
    </w:p>
    <w:p>
      <w:pPr>
        <w:spacing w:line="560" w:lineRule="exact"/>
        <w:ind w:firstLine="560" w:firstLineChars="175"/>
        <w:rPr>
          <w:rFonts w:hint="eastAsia" w:eastAsia="仿宋_GB2312"/>
          <w:sz w:val="32"/>
          <w:szCs w:val="32"/>
          <w:lang w:val="en-US" w:eastAsia="zh-CN"/>
        </w:rPr>
      </w:pPr>
      <w:r>
        <w:rPr>
          <w:rFonts w:hint="eastAsia" w:ascii="黑体" w:hAnsi="黑体" w:eastAsia="黑体" w:cs="仿宋_GB2312"/>
          <w:color w:val="auto"/>
          <w:spacing w:val="0"/>
          <w:kern w:val="2"/>
          <w:sz w:val="32"/>
          <w:szCs w:val="32"/>
          <w:lang w:val="en-US" w:eastAsia="zh-CN" w:bidi="ar-SA"/>
        </w:rPr>
        <w:t>六、切实做好绩效运行监控，强化跟踪问效导向。</w:t>
      </w:r>
      <w:r>
        <w:rPr>
          <w:rFonts w:hint="eastAsia" w:eastAsia="仿宋_GB2312"/>
          <w:sz w:val="32"/>
          <w:szCs w:val="32"/>
        </w:rPr>
        <w:t>对纳入</w:t>
      </w:r>
      <w:r>
        <w:rPr>
          <w:rFonts w:hint="eastAsia" w:eastAsia="仿宋_GB2312"/>
          <w:sz w:val="32"/>
          <w:szCs w:val="32"/>
          <w:lang w:val="en-US" w:eastAsia="zh-CN"/>
        </w:rPr>
        <w:t>2024年度</w:t>
      </w:r>
      <w:r>
        <w:rPr>
          <w:rFonts w:hint="eastAsia" w:eastAsia="仿宋_GB2312"/>
          <w:sz w:val="32"/>
          <w:szCs w:val="32"/>
        </w:rPr>
        <w:t>预算绩效管理范围的</w:t>
      </w:r>
      <w:r>
        <w:rPr>
          <w:rFonts w:hint="eastAsia" w:eastAsia="仿宋_GB2312"/>
          <w:sz w:val="32"/>
          <w:szCs w:val="32"/>
          <w:lang w:eastAsia="zh-CN"/>
        </w:rPr>
        <w:t>所有项目（政策）</w:t>
      </w:r>
      <w:r>
        <w:rPr>
          <w:rFonts w:hint="eastAsia" w:eastAsia="仿宋_GB2312"/>
          <w:sz w:val="32"/>
          <w:szCs w:val="32"/>
          <w:lang w:val="en-US" w:eastAsia="zh-CN"/>
        </w:rPr>
        <w:t>1-8月</w:t>
      </w:r>
      <w:r>
        <w:rPr>
          <w:rFonts w:hint="eastAsia" w:eastAsia="仿宋_GB2312"/>
          <w:sz w:val="32"/>
          <w:szCs w:val="32"/>
        </w:rPr>
        <w:t>绩效目标实现程度和预算执行进度开展“双监控”，监控覆盖率100%</w:t>
      </w:r>
      <w:r>
        <w:rPr>
          <w:rFonts w:hint="eastAsia" w:eastAsia="仿宋_GB2312"/>
          <w:sz w:val="32"/>
          <w:szCs w:val="32"/>
          <w:lang w:eastAsia="zh-CN"/>
        </w:rPr>
        <w:t>。</w:t>
      </w:r>
      <w:r>
        <w:rPr>
          <w:rFonts w:hint="eastAsia" w:eastAsia="仿宋_GB2312"/>
          <w:sz w:val="32"/>
          <w:szCs w:val="32"/>
          <w:lang w:val="en-US" w:eastAsia="zh-CN"/>
        </w:rPr>
        <w:t>监控中发现的预算执行进度慢、偏离目标的项目（政策），督促相关部门进行整改，确保绩效目标如期实现；对于项目无法实施或预算无法执行的项目（政策），调整预算，及时收回不再实施的项目资金，强化跟踪问效，确保资金使用效益。</w:t>
      </w:r>
    </w:p>
    <w:p>
      <w:pPr>
        <w:pStyle w:val="2"/>
        <w:ind w:firstLine="640" w:firstLineChars="200"/>
        <w:rPr>
          <w:rFonts w:hint="eastAsia" w:eastAsia="仿宋_GB2312" w:cs="仿宋_GB2312" w:asciiTheme="minorHAnsi" w:hAnsiTheme="minorHAnsi"/>
          <w:color w:val="auto"/>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七、积极开展乡镇财政综合运行绩效评价。</w:t>
      </w:r>
      <w:r>
        <w:rPr>
          <w:rFonts w:hint="eastAsia" w:eastAsia="仿宋_GB2312" w:cs="仿宋_GB2312" w:asciiTheme="minorHAnsi" w:hAnsiTheme="minorHAnsi"/>
          <w:color w:val="auto"/>
          <w:kern w:val="2"/>
          <w:sz w:val="32"/>
          <w:szCs w:val="32"/>
          <w:lang w:val="en-US" w:eastAsia="zh-CN" w:bidi="ar-SA"/>
        </w:rPr>
        <w:t>选择龙山办、界石镇政府开展财政运行综合绩效评价，将镇级政府收支预算纳入绩效管理，全面分析镇级财政运行状况，增强财政运行的可持续性。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仿宋_GB2312"/>
          <w:color w:val="auto"/>
          <w:spacing w:val="0"/>
          <w:kern w:val="2"/>
          <w:sz w:val="32"/>
          <w:szCs w:val="32"/>
          <w:lang w:val="en-US" w:eastAsia="zh-CN" w:bidi="ar-SA"/>
        </w:rPr>
        <w:t>八、加大政策宣传引导，创先争优，推动预算绩效管理工作深化提升。</w:t>
      </w:r>
      <w:r>
        <w:rPr>
          <w:rFonts w:eastAsia="仿宋_GB2312" w:cs="Times New Roman"/>
          <w:sz w:val="32"/>
          <w:szCs w:val="32"/>
        </w:rPr>
        <w:t>研究下发了</w:t>
      </w:r>
      <w:r>
        <w:rPr>
          <w:rFonts w:hint="eastAsia" w:eastAsia="仿宋_GB2312" w:cs="Times New Roman"/>
          <w:sz w:val="32"/>
          <w:szCs w:val="32"/>
        </w:rPr>
        <w:t>《</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eastAsia" w:eastAsia="仿宋_GB2312" w:cs="Times New Roman"/>
          <w:sz w:val="32"/>
          <w:szCs w:val="32"/>
          <w:lang w:val="en-US" w:eastAsia="zh-CN"/>
        </w:rPr>
        <w:t>年区级预算绩效管理工作要点</w:t>
      </w:r>
      <w:r>
        <w:rPr>
          <w:rFonts w:hint="eastAsia" w:eastAsia="仿宋_GB2312" w:cs="Times New Roman"/>
          <w:sz w:val="32"/>
          <w:szCs w:val="32"/>
        </w:rPr>
        <w:t>》</w:t>
      </w:r>
      <w:r>
        <w:rPr>
          <w:rFonts w:eastAsia="仿宋_GB2312" w:cs="Times New Roman"/>
          <w:sz w:val="32"/>
          <w:szCs w:val="32"/>
        </w:rPr>
        <w:t>，明确了阶段性目标、</w:t>
      </w:r>
      <w:r>
        <w:rPr>
          <w:rFonts w:hint="eastAsia" w:eastAsia="仿宋_GB2312" w:cs="Times New Roman"/>
          <w:sz w:val="32"/>
          <w:szCs w:val="32"/>
          <w:lang w:eastAsia="zh-CN"/>
        </w:rPr>
        <w:t>工作重点及</w:t>
      </w:r>
      <w:r>
        <w:rPr>
          <w:rFonts w:eastAsia="仿宋_GB2312" w:cs="Times New Roman"/>
          <w:sz w:val="32"/>
          <w:szCs w:val="32"/>
        </w:rPr>
        <w:t>任务完成时间节点</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6月28日上午</w:t>
      </w:r>
      <w:r>
        <w:rPr>
          <w:rFonts w:hint="eastAsia" w:eastAsia="仿宋_GB2312" w:cs="Times New Roman"/>
          <w:sz w:val="32"/>
          <w:szCs w:val="32"/>
          <w:lang w:val="en-US" w:eastAsia="zh-CN"/>
        </w:rPr>
        <w:t>，</w:t>
      </w:r>
      <w:r>
        <w:rPr>
          <w:rFonts w:hint="eastAsia" w:ascii="仿宋_GB2312" w:hAnsi="仿宋_GB2312" w:eastAsia="仿宋_GB2312" w:cs="仿宋_GB2312"/>
          <w:sz w:val="32"/>
          <w:szCs w:val="32"/>
          <w:lang w:val="en-US" w:eastAsia="zh-CN"/>
        </w:rPr>
        <w:t>举办全区预算绩效管理政策与实务专题培训班，结合我区预算绩效管理工作实例对全面实施预算绩效管理工作进行了全方位解读，进一步提高了全区预算绩效管理人员的绩效管理意识和实际操作能力。</w:t>
      </w:r>
      <w:r>
        <w:rPr>
          <w:rFonts w:hint="default" w:ascii="Times New Roman" w:hAnsi="Times New Roman" w:eastAsia="仿宋_GB2312" w:cs="Times New Roman"/>
          <w:sz w:val="32"/>
          <w:szCs w:val="32"/>
          <w:lang w:val="en-US" w:eastAsia="zh-CN"/>
        </w:rPr>
        <w:t>2024年2月3日中</w:t>
      </w:r>
      <w:r>
        <w:rPr>
          <w:rFonts w:hint="eastAsia" w:ascii="仿宋_GB2312" w:hAnsi="仿宋_GB2312" w:eastAsia="仿宋_GB2312" w:cs="仿宋_GB2312"/>
          <w:sz w:val="32"/>
          <w:szCs w:val="32"/>
          <w:lang w:val="en-US" w:eastAsia="zh-CN"/>
        </w:rPr>
        <w:t>国财经报《山东威海文登区成本预算绩效管理成效显著》、《财政监督》杂志2024年第8期“山东威海文登区：积极开展成本预算绩效管理，推动财政资金节本增效”，介绍了文登区成本预算绩效管理的典型作法及良好成效；《财政监督》杂志2024年第11期“山东威海文登区：三个强化，全面提升绩效评价质量”，介绍了文登区通过绩效评价，不断提高财政资金使用效益和政策实施效果。</w:t>
      </w:r>
    </w:p>
    <w:p>
      <w:pPr>
        <w:rPr>
          <w:rFonts w:hint="eastAsia"/>
          <w:lang w:eastAsia="zh-CN"/>
        </w:rPr>
      </w:pPr>
      <w:bookmarkStart w:id="141" w:name="_GoBack"/>
      <w:bookmarkEnd w:id="141"/>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p>
    <w:p>
      <w:pPr>
        <w:pStyle w:val="57"/>
        <w:spacing w:after="0" w:line="560" w:lineRule="exact"/>
        <w:ind w:left="0" w:leftChars="0" w:firstLine="0" w:firstLineChars="0"/>
        <w:rPr>
          <w:rFonts w:hint="default" w:ascii="仿宋_GB2312" w:hAnsi="仿宋_GB2312" w:eastAsia="仿宋_GB2312" w:cs="仿宋_GB2312"/>
          <w:sz w:val="24"/>
          <w:szCs w:val="24"/>
          <w:highlight w:val="none"/>
          <w:lang w:val="en-US" w:eastAsia="zh-CN"/>
        </w:rPr>
      </w:pPr>
    </w:p>
    <w:sectPr>
      <w:headerReference r:id="rId23" w:type="default"/>
      <w:footerReference r:id="rId2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ascii="宋体" w:hAnsi="宋体" w:eastAsia="宋体" w:cs="宋体"/>
                              <w:sz w:val="28"/>
                              <w:szCs w:val="28"/>
                            </w:rPr>
                          </w:pPr>
                          <w:r>
                            <w:rPr>
                              <w:rFonts w:hint="default" w:eastAsia="宋体" w:cs="宋体" w:asciiTheme="minorAscii" w:hAnsiTheme="minorAscii"/>
                              <w:sz w:val="18"/>
                              <w:szCs w:val="18"/>
                            </w:rPr>
                            <w:fldChar w:fldCharType="begin"/>
                          </w:r>
                          <w:r>
                            <w:rPr>
                              <w:rFonts w:hint="default" w:eastAsia="宋体" w:cs="宋体" w:asciiTheme="minorAscii" w:hAnsiTheme="minorAscii"/>
                              <w:sz w:val="18"/>
                              <w:szCs w:val="18"/>
                            </w:rPr>
                            <w:instrText xml:space="preserve"> PAGE  \* MERGEFORMAT </w:instrText>
                          </w:r>
                          <w:r>
                            <w:rPr>
                              <w:rFonts w:hint="default" w:eastAsia="宋体" w:cs="宋体" w:asciiTheme="minorAscii" w:hAnsiTheme="minorAscii"/>
                              <w:sz w:val="18"/>
                              <w:szCs w:val="18"/>
                            </w:rPr>
                            <w:fldChar w:fldCharType="separate"/>
                          </w:r>
                          <w:r>
                            <w:rPr>
                              <w:rFonts w:hint="default" w:eastAsia="宋体" w:cs="宋体" w:asciiTheme="minorAscii" w:hAnsiTheme="minorAscii"/>
                              <w:sz w:val="18"/>
                              <w:szCs w:val="18"/>
                            </w:rPr>
                            <w:t>18</w:t>
                          </w:r>
                          <w:r>
                            <w:rPr>
                              <w:rFonts w:hint="default" w:eastAsia="宋体" w:cs="宋体" w:asciiTheme="minorAscii" w:hAnsiTheme="minorAscii"/>
                              <w:sz w:val="18"/>
                              <w:szCs w:val="18"/>
                            </w:rPr>
                            <w:fldChar w:fldCharType="end"/>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HAEeht8BAADAAwAADgAAAAAA&#10;AAABACAAAAAeAQAAZHJzL2Uyb0RvYy54bWxQSwUGAAAAAAYABgBZAQAAbwUAAAAA&#10;">
              <v:fill on="f" focussize="0,0"/>
              <v:stroke on="f"/>
              <v:imagedata o:title=""/>
              <o:lock v:ext="edit" aspectratio="f"/>
              <v:textbox inset="0mm,0mm,0mm,0mm" style="mso-fit-shape-to-text:t;">
                <w:txbxContent>
                  <w:p>
                    <w:pPr>
                      <w:pStyle w:val="10"/>
                      <w:rPr>
                        <w:rFonts w:hint="eastAsia" w:ascii="宋体" w:hAnsi="宋体" w:eastAsia="宋体" w:cs="宋体"/>
                        <w:sz w:val="28"/>
                        <w:szCs w:val="28"/>
                      </w:rPr>
                    </w:pPr>
                    <w:r>
                      <w:rPr>
                        <w:rFonts w:hint="default" w:eastAsia="宋体" w:cs="宋体" w:asciiTheme="minorAscii" w:hAnsiTheme="minorAscii"/>
                        <w:sz w:val="18"/>
                        <w:szCs w:val="18"/>
                      </w:rPr>
                      <w:fldChar w:fldCharType="begin"/>
                    </w:r>
                    <w:r>
                      <w:rPr>
                        <w:rFonts w:hint="default" w:eastAsia="宋体" w:cs="宋体" w:asciiTheme="minorAscii" w:hAnsiTheme="minorAscii"/>
                        <w:sz w:val="18"/>
                        <w:szCs w:val="18"/>
                      </w:rPr>
                      <w:instrText xml:space="preserve"> PAGE  \* MERGEFORMAT </w:instrText>
                    </w:r>
                    <w:r>
                      <w:rPr>
                        <w:rFonts w:hint="default" w:eastAsia="宋体" w:cs="宋体" w:asciiTheme="minorAscii" w:hAnsiTheme="minorAscii"/>
                        <w:sz w:val="18"/>
                        <w:szCs w:val="18"/>
                      </w:rPr>
                      <w:fldChar w:fldCharType="separate"/>
                    </w:r>
                    <w:r>
                      <w:rPr>
                        <w:rFonts w:hint="default" w:eastAsia="宋体" w:cs="宋体" w:asciiTheme="minorAscii" w:hAnsiTheme="minorAscii"/>
                        <w:sz w:val="18"/>
                        <w:szCs w:val="18"/>
                      </w:rPr>
                      <w:t>18</w:t>
                    </w:r>
                    <w:r>
                      <w:rPr>
                        <w:rFonts w:hint="default" w:eastAsia="宋体" w:cs="宋体" w:asciiTheme="minorAscii" w:hAnsiTheme="minorAscii"/>
                        <w:sz w:val="18"/>
                        <w:szCs w:val="18"/>
                      </w:rPr>
                      <w:fldChar w:fldCharType="end"/>
                    </w:r>
                  </w:p>
                </w:txbxContent>
              </v:textbox>
            </v:shape>
          </w:pict>
        </mc:Fallback>
      </mc:AlternateContent>
    </w:r>
  </w:p>
  <w:p>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3"/>
      </w:pPr>
      <w:r>
        <w:rPr>
          <w:rStyle w:val="26"/>
        </w:rPr>
        <w:footnoteRef/>
      </w:r>
      <w:r>
        <w:rPr>
          <w:rFonts w:hint="eastAsia"/>
        </w:rPr>
        <w:t>根据财政部《项目支出绩效评价管理办法》（财预〔</w:t>
      </w:r>
      <w:r>
        <w:t>2020〕10号</w:t>
      </w:r>
      <w:r>
        <w:rPr>
          <w:rFonts w:hint="eastAsia"/>
        </w:rPr>
        <w:t>）绩效评价结果等级规定</w:t>
      </w:r>
      <w:r>
        <w:t>，</w:t>
      </w:r>
      <w:r>
        <w:rPr>
          <w:spacing w:val="-18"/>
        </w:rPr>
        <w:t>90（</w:t>
      </w:r>
      <w:r>
        <w:rPr>
          <w:spacing w:val="-5"/>
        </w:rPr>
        <w:t>含</w:t>
      </w:r>
      <w:r>
        <w:rPr>
          <w:spacing w:val="-8"/>
        </w:rPr>
        <w:t>）-100</w:t>
      </w:r>
      <w:r>
        <w:rPr>
          <w:spacing w:val="-3"/>
        </w:rPr>
        <w:t>分为优、</w:t>
      </w:r>
      <w:r>
        <w:rPr>
          <w:spacing w:val="-14"/>
        </w:rPr>
        <w:t>80（</w:t>
      </w:r>
      <w:r>
        <w:rPr>
          <w:spacing w:val="-5"/>
        </w:rPr>
        <w:t>含</w:t>
      </w:r>
      <w:r>
        <w:rPr>
          <w:spacing w:val="-10"/>
        </w:rPr>
        <w:t>）-90</w:t>
      </w:r>
      <w:r>
        <w:t>分为良、</w:t>
      </w:r>
      <w:r>
        <w:rPr>
          <w:spacing w:val="-3"/>
        </w:rPr>
        <w:t>60（</w:t>
      </w:r>
      <w:r>
        <w:t>含）-80</w:t>
      </w:r>
      <w:r>
        <w:rPr>
          <w:spacing w:val="-5"/>
        </w:rPr>
        <w:t>分为中、</w:t>
      </w:r>
      <w:r>
        <w:rPr>
          <w:spacing w:val="-4"/>
        </w:rPr>
        <w:t>60分以下为差。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600" w:firstLine="0" w:firstLineChars="0"/>
      <w:rPr>
        <w:rFonts w:ascii="宋体" w:hAnsi="宋体" w:eastAsia="宋体" w:cs="宋体"/>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5C3A4"/>
    <w:multiLevelType w:val="singleLevel"/>
    <w:tmpl w:val="82B5C3A4"/>
    <w:lvl w:ilvl="0" w:tentative="0">
      <w:start w:val="4"/>
      <w:numFmt w:val="decimal"/>
      <w:lvlText w:val="%1."/>
      <w:lvlJc w:val="left"/>
      <w:pPr>
        <w:tabs>
          <w:tab w:val="left" w:pos="312"/>
        </w:tabs>
      </w:pPr>
    </w:lvl>
  </w:abstractNum>
  <w:abstractNum w:abstractNumId="1">
    <w:nsid w:val="E9FBF999"/>
    <w:multiLevelType w:val="singleLevel"/>
    <w:tmpl w:val="E9FBF999"/>
    <w:lvl w:ilvl="0" w:tentative="0">
      <w:start w:val="2"/>
      <w:numFmt w:val="decimal"/>
      <w:suff w:val="space"/>
      <w:lvlText w:val="%1."/>
      <w:lvlJc w:val="left"/>
    </w:lvl>
  </w:abstractNum>
  <w:abstractNum w:abstractNumId="2">
    <w:nsid w:val="38E013F5"/>
    <w:multiLevelType w:val="singleLevel"/>
    <w:tmpl w:val="38E013F5"/>
    <w:lvl w:ilvl="0" w:tentative="0">
      <w:start w:val="1"/>
      <w:numFmt w:val="chineseCounting"/>
      <w:suff w:val="nothing"/>
      <w:lvlText w:val="%1、"/>
      <w:lvlJc w:val="left"/>
      <w:rPr>
        <w:rFonts w:hint="eastAsia"/>
      </w:rPr>
    </w:lvl>
  </w:abstractNum>
  <w:abstractNum w:abstractNumId="3">
    <w:nsid w:val="610671B8"/>
    <w:multiLevelType w:val="multilevel"/>
    <w:tmpl w:val="610671B8"/>
    <w:lvl w:ilvl="0" w:tentative="0">
      <w:start w:val="1"/>
      <w:numFmt w:val="chineseCountingThousand"/>
      <w:suff w:val="nothing"/>
      <w:lvlText w:val="%1、"/>
      <w:lvlJc w:val="left"/>
      <w:pPr>
        <w:ind w:left="3969" w:firstLine="0"/>
      </w:pPr>
      <w:rPr>
        <w:rFonts w:hint="eastAsia"/>
        <w:b/>
        <w:i w:val="0"/>
      </w:rPr>
    </w:lvl>
    <w:lvl w:ilvl="1" w:tentative="0">
      <w:start w:val="1"/>
      <w:numFmt w:val="chineseCountingThousand"/>
      <w:suff w:val="nothing"/>
      <w:lvlText w:val="（%2）"/>
      <w:lvlJc w:val="left"/>
      <w:pPr>
        <w:ind w:left="425" w:firstLine="0"/>
      </w:pPr>
      <w:rPr>
        <w:rFonts w:hint="default" w:ascii="Times New Roman" w:hAnsi="Times New Roman" w:cs="Times New Roman"/>
        <w:b/>
        <w:bCs w:val="0"/>
        <w:i w:val="0"/>
        <w:iCs w:val="0"/>
        <w:caps w:val="0"/>
        <w:smallCaps w:val="0"/>
        <w:strike w:val="0"/>
        <w:dstrike w:val="0"/>
        <w:vanish w:val="0"/>
        <w:spacing w:val="0"/>
        <w:kern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5"/>
      <w:suff w:val="nothing"/>
      <w:lvlText w:val="%3. "/>
      <w:lvlJc w:val="left"/>
      <w:pPr>
        <w:ind w:left="992" w:hanging="567"/>
      </w:pPr>
      <w:rPr>
        <w:rFonts w:hint="eastAsia"/>
      </w:rPr>
    </w:lvl>
    <w:lvl w:ilvl="3" w:tentative="0">
      <w:start w:val="1"/>
      <w:numFmt w:val="decimal"/>
      <w:suff w:val="nothing"/>
      <w:lvlText w:val="（%4）"/>
      <w:lvlJc w:val="left"/>
      <w:pPr>
        <w:ind w:left="992" w:hanging="425"/>
      </w:pPr>
      <w:rPr>
        <w:rFonts w:hint="eastAsia"/>
      </w:rPr>
    </w:lvl>
    <w:lvl w:ilvl="4" w:tentative="0">
      <w:start w:val="1"/>
      <w:numFmt w:val="decimal"/>
      <w:suff w:val="nothing"/>
      <w:lvlText w:val="%5）"/>
      <w:lvlJc w:val="left"/>
      <w:pPr>
        <w:ind w:left="992" w:hanging="113"/>
      </w:pPr>
      <w:rPr>
        <w:rFonts w:hint="eastAsia"/>
      </w:rPr>
    </w:lvl>
    <w:lvl w:ilvl="5" w:tentative="0">
      <w:start w:val="1"/>
      <w:numFmt w:val="decimal"/>
      <w:pStyle w:val="43"/>
      <w:suff w:val="nothing"/>
      <w:lvlText w:val="附件%6 "/>
      <w:lvlJc w:val="left"/>
      <w:pPr>
        <w:ind w:left="0" w:firstLine="0"/>
      </w:pPr>
      <w:rPr>
        <w:rFonts w:hint="eastAsia"/>
      </w:rPr>
    </w:lvl>
    <w:lvl w:ilvl="6" w:tentative="0">
      <w:start w:val="1"/>
      <w:numFmt w:val="chineseCountingThousand"/>
      <w:suff w:val="nothing"/>
      <w:lvlText w:val="%7、"/>
      <w:lvlJc w:val="left"/>
      <w:pPr>
        <w:ind w:left="992" w:hanging="567"/>
      </w:pPr>
      <w:rPr>
        <w:rFonts w:hint="eastAsia"/>
      </w:rPr>
    </w:lvl>
    <w:lvl w:ilvl="7" w:tentative="0">
      <w:start w:val="1"/>
      <w:numFmt w:val="chineseCountingThousand"/>
      <w:suff w:val="nothing"/>
      <w:lvlText w:val="（%8）"/>
      <w:lvlJc w:val="left"/>
      <w:pPr>
        <w:ind w:left="992" w:hanging="567"/>
      </w:pPr>
      <w:rPr>
        <w:rFonts w:hint="eastAsia"/>
      </w:rPr>
    </w:lvl>
    <w:lvl w:ilvl="8" w:tentative="0">
      <w:start w:val="1"/>
      <w:numFmt w:val="decimal"/>
      <w:suff w:val="nothing"/>
      <w:lvlText w:val="%9. "/>
      <w:lvlJc w:val="left"/>
      <w:pPr>
        <w:ind w:left="992" w:hanging="567"/>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1MjY0N2JlMDcyOTc5MGZmMjU5MWFkYzNmOTdmMGEifQ=="/>
    <w:docVar w:name="KSO_WPS_MARK_KEY" w:val="fe84a7e4-241e-4197-bed2-78e970f951bb"/>
  </w:docVars>
  <w:rsids>
    <w:rsidRoot w:val="79D00A66"/>
    <w:rsid w:val="04BA3565"/>
    <w:rsid w:val="063B2B4D"/>
    <w:rsid w:val="06DE32DA"/>
    <w:rsid w:val="07E64886"/>
    <w:rsid w:val="0F696B20"/>
    <w:rsid w:val="0FF24D67"/>
    <w:rsid w:val="10040085"/>
    <w:rsid w:val="1055163A"/>
    <w:rsid w:val="11744B2C"/>
    <w:rsid w:val="11772AAC"/>
    <w:rsid w:val="12C21534"/>
    <w:rsid w:val="13F27FF8"/>
    <w:rsid w:val="14445DAD"/>
    <w:rsid w:val="16247C45"/>
    <w:rsid w:val="162C6AF9"/>
    <w:rsid w:val="17F25957"/>
    <w:rsid w:val="1AE6371B"/>
    <w:rsid w:val="208A0FEC"/>
    <w:rsid w:val="20C932CD"/>
    <w:rsid w:val="211C2557"/>
    <w:rsid w:val="21D15060"/>
    <w:rsid w:val="228026A7"/>
    <w:rsid w:val="23D866EE"/>
    <w:rsid w:val="27C26BE0"/>
    <w:rsid w:val="2CC34063"/>
    <w:rsid w:val="2CFF39EA"/>
    <w:rsid w:val="2F462582"/>
    <w:rsid w:val="30BA5B1E"/>
    <w:rsid w:val="339C380E"/>
    <w:rsid w:val="344828F8"/>
    <w:rsid w:val="36F34D9D"/>
    <w:rsid w:val="37E90A73"/>
    <w:rsid w:val="38AD71CE"/>
    <w:rsid w:val="3C314FB9"/>
    <w:rsid w:val="3C486C5E"/>
    <w:rsid w:val="41014921"/>
    <w:rsid w:val="417C1E33"/>
    <w:rsid w:val="41D668C2"/>
    <w:rsid w:val="42775BE0"/>
    <w:rsid w:val="42BC2E2F"/>
    <w:rsid w:val="45B807DB"/>
    <w:rsid w:val="49956188"/>
    <w:rsid w:val="4B3F391B"/>
    <w:rsid w:val="4D6E4C0D"/>
    <w:rsid w:val="4DFC4C28"/>
    <w:rsid w:val="51FF6894"/>
    <w:rsid w:val="57230E23"/>
    <w:rsid w:val="5AC95C92"/>
    <w:rsid w:val="5B054A3B"/>
    <w:rsid w:val="5B6B55FE"/>
    <w:rsid w:val="5EB34C8F"/>
    <w:rsid w:val="5EBA426F"/>
    <w:rsid w:val="5F71563F"/>
    <w:rsid w:val="5FEA0785"/>
    <w:rsid w:val="61E70875"/>
    <w:rsid w:val="6252456C"/>
    <w:rsid w:val="62745086"/>
    <w:rsid w:val="640B615E"/>
    <w:rsid w:val="64A53FA6"/>
    <w:rsid w:val="6582360D"/>
    <w:rsid w:val="66EF76BF"/>
    <w:rsid w:val="69476AFE"/>
    <w:rsid w:val="6C375151"/>
    <w:rsid w:val="6CDA3D2E"/>
    <w:rsid w:val="6F063E1D"/>
    <w:rsid w:val="717F4379"/>
    <w:rsid w:val="72514A93"/>
    <w:rsid w:val="72FF004B"/>
    <w:rsid w:val="767C47E8"/>
    <w:rsid w:val="791F1447"/>
    <w:rsid w:val="79D00A66"/>
    <w:rsid w:val="7B7315D6"/>
    <w:rsid w:val="7CD74885"/>
    <w:rsid w:val="7D9618AD"/>
    <w:rsid w:val="7E3F6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_GB2312" w:asciiTheme="minorHAnsi" w:hAnsiTheme="minorHAnsi" w:eastAsiaTheme="minorEastAsia"/>
      <w:color w:val="auto"/>
      <w:kern w:val="2"/>
      <w:sz w:val="32"/>
      <w:szCs w:val="32"/>
      <w:lang w:val="en-US" w:eastAsia="zh-CN" w:bidi="ar-SA"/>
    </w:rPr>
  </w:style>
  <w:style w:type="paragraph" w:styleId="3">
    <w:name w:val="heading 1"/>
    <w:basedOn w:val="1"/>
    <w:next w:val="1"/>
    <w:qFormat/>
    <w:uiPriority w:val="0"/>
    <w:pPr>
      <w:keepNext/>
      <w:keepLines/>
      <w:ind w:firstLine="200" w:firstLineChars="200"/>
      <w:outlineLvl w:val="0"/>
    </w:pPr>
    <w:rPr>
      <w:rFonts w:eastAsia="黑体"/>
      <w:bCs/>
      <w:kern w:val="44"/>
      <w:szCs w:val="44"/>
    </w:rPr>
  </w:style>
  <w:style w:type="paragraph" w:styleId="4">
    <w:name w:val="heading 2"/>
    <w:basedOn w:val="1"/>
    <w:next w:val="1"/>
    <w:semiHidden/>
    <w:unhideWhenUsed/>
    <w:qFormat/>
    <w:uiPriority w:val="0"/>
    <w:pPr>
      <w:keepNext/>
      <w:keepLines/>
      <w:ind w:firstLine="200" w:firstLineChars="200"/>
      <w:outlineLvl w:val="1"/>
    </w:pPr>
    <w:rPr>
      <w:rFonts w:eastAsia="楷体_GB2312" w:asciiTheme="majorHAnsi" w:hAnsiTheme="majorHAnsi" w:cstheme="majorBidi"/>
      <w:bCs/>
      <w:szCs w:val="32"/>
    </w:rPr>
  </w:style>
  <w:style w:type="paragraph" w:styleId="5">
    <w:name w:val="heading 3"/>
    <w:basedOn w:val="1"/>
    <w:next w:val="1"/>
    <w:semiHidden/>
    <w:unhideWhenUsed/>
    <w:qFormat/>
    <w:uiPriority w:val="0"/>
    <w:pPr>
      <w:keepNext/>
      <w:keepLines/>
      <w:widowControl w:val="0"/>
      <w:numPr>
        <w:ilvl w:val="2"/>
        <w:numId w:val="1"/>
      </w:numPr>
      <w:spacing w:before="120" w:after="60" w:line="500" w:lineRule="exact"/>
      <w:ind w:left="992" w:firstLine="0" w:firstLineChars="0"/>
      <w:jc w:val="both"/>
      <w:outlineLvl w:val="2"/>
    </w:pPr>
    <w:rPr>
      <w:rFonts w:ascii="Times New Roman" w:hAnsi="Times New Roman" w:eastAsia="仿宋_GB2312" w:cs="Times New Roman"/>
      <w:b/>
      <w:bCs/>
      <w:kern w:val="0"/>
      <w:sz w:val="28"/>
      <w:szCs w:val="32"/>
      <w:lang w:val="en-US" w:eastAsia="zh-CN" w:bidi="ar-SA"/>
    </w:rPr>
  </w:style>
  <w:style w:type="paragraph" w:styleId="6">
    <w:name w:val="heading 4"/>
    <w:basedOn w:val="1"/>
    <w:next w:val="1"/>
    <w:semiHidden/>
    <w:unhideWhenUsed/>
    <w:qFormat/>
    <w:uiPriority w:val="0"/>
    <w:pPr>
      <w:keepNext/>
      <w:keepLines/>
      <w:spacing w:line="560" w:lineRule="exact"/>
      <w:ind w:firstLine="200" w:firstLineChars="200"/>
      <w:jc w:val="left"/>
      <w:outlineLvl w:val="3"/>
    </w:pPr>
    <w:rPr>
      <w:rFonts w:eastAsia="楷体_GB2312" w:asciiTheme="majorHAnsi" w:hAnsiTheme="majorHAnsi" w:cstheme="majorBidi"/>
      <w:bCs/>
      <w:szCs w:val="28"/>
    </w:rPr>
  </w:style>
  <w:style w:type="character" w:default="1" w:styleId="22">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7">
    <w:name w:val="Body Text"/>
    <w:basedOn w:val="1"/>
    <w:next w:val="8"/>
    <w:uiPriority w:val="0"/>
    <w:pPr>
      <w:autoSpaceDE w:val="0"/>
      <w:autoSpaceDN w:val="0"/>
      <w:spacing w:before="190"/>
      <w:ind w:left="1333"/>
      <w:jc w:val="left"/>
    </w:pPr>
    <w:rPr>
      <w:rFonts w:eastAsia="宋体"/>
      <w:kern w:val="0"/>
      <w:szCs w:val="32"/>
      <w:lang w:val="zh-CN" w:bidi="zh-CN"/>
    </w:rPr>
  </w:style>
  <w:style w:type="paragraph" w:styleId="8">
    <w:name w:val="Body Text First Indent"/>
    <w:basedOn w:val="7"/>
    <w:uiPriority w:val="0"/>
    <w:pPr>
      <w:spacing w:line="360" w:lineRule="auto"/>
      <w:ind w:firstLine="420" w:firstLineChars="100"/>
    </w:pPr>
    <w:rPr>
      <w:rFonts w:ascii="Times New Roman" w:hAnsi="Times New Roman" w:cs="Times New Roman"/>
      <w:sz w:val="24"/>
    </w:rPr>
  </w:style>
  <w:style w:type="paragraph" w:styleId="9">
    <w:name w:val="Body Text Indent"/>
    <w:basedOn w:val="1"/>
    <w:next w:val="1"/>
    <w:uiPriority w:val="0"/>
    <w:pPr>
      <w:spacing w:after="120"/>
      <w:ind w:left="420" w:leftChars="200"/>
    </w:pPr>
  </w:style>
  <w:style w:type="paragraph" w:styleId="10">
    <w:name w:val="footer"/>
    <w:basedOn w:val="1"/>
    <w:uiPriority w:val="0"/>
    <w:pPr>
      <w:tabs>
        <w:tab w:val="center" w:pos="4153"/>
        <w:tab w:val="right" w:pos="8306"/>
      </w:tabs>
      <w:snapToGrid w:val="0"/>
      <w:spacing w:line="240" w:lineRule="atLeast"/>
    </w:pPr>
    <w:rPr>
      <w:sz w:val="18"/>
      <w:szCs w:val="18"/>
    </w:rPr>
  </w:style>
  <w:style w:type="paragraph" w:styleId="11">
    <w:name w:val="header"/>
    <w:basedOn w:val="1"/>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2">
    <w:name w:val="Subtitle"/>
    <w:basedOn w:val="1"/>
    <w:next w:val="1"/>
    <w:link w:val="58"/>
    <w:qFormat/>
    <w:uiPriority w:val="0"/>
    <w:pPr>
      <w:widowControl/>
      <w:spacing w:after="120" w:line="276" w:lineRule="auto"/>
      <w:jc w:val="left"/>
    </w:pPr>
    <w:rPr>
      <w:rFonts w:asciiTheme="majorHAnsi" w:hAnsiTheme="majorHAnsi" w:eastAsiaTheme="majorEastAsia" w:cstheme="majorBidi"/>
      <w:i/>
      <w:iCs/>
      <w:color w:val="5B9BD5" w:themeColor="accent1"/>
      <w:spacing w:val="15"/>
      <w:kern w:val="0"/>
      <w:sz w:val="24"/>
      <w:szCs w:val="24"/>
      <w14:textFill>
        <w14:solidFill>
          <w14:schemeClr w14:val="accent1"/>
        </w14:solidFill>
      </w14:textFill>
    </w:rPr>
  </w:style>
  <w:style w:type="paragraph" w:styleId="13">
    <w:name w:val="footnote text"/>
    <w:basedOn w:val="1"/>
    <w:uiPriority w:val="0"/>
    <w:pPr>
      <w:widowControl w:val="0"/>
      <w:snapToGrid w:val="0"/>
      <w:jc w:val="left"/>
    </w:pPr>
    <w:rPr>
      <w:rFonts w:ascii="Times New Roman" w:hAnsi="Times New Roman" w:eastAsia="仿宋_GB2312" w:cs="Times New Roman"/>
      <w:kern w:val="2"/>
      <w:sz w:val="18"/>
      <w:szCs w:val="18"/>
      <w:lang w:val="en-US" w:eastAsia="zh-CN" w:bidi="ar-SA"/>
    </w:rPr>
  </w:style>
  <w:style w:type="paragraph" w:styleId="14">
    <w:name w:val="toc 2"/>
    <w:basedOn w:val="1"/>
    <w:next w:val="15"/>
    <w:uiPriority w:val="0"/>
  </w:style>
  <w:style w:type="paragraph" w:customStyle="1" w:styleId="15">
    <w:name w:val="闻政正文"/>
    <w:link w:val="42"/>
    <w:qFormat/>
    <w:uiPriority w:val="3"/>
    <w:pPr>
      <w:widowControl w:val="0"/>
      <w:spacing w:line="500" w:lineRule="exact"/>
      <w:ind w:firstLine="200" w:firstLineChars="200"/>
      <w:jc w:val="both"/>
    </w:pPr>
    <w:rPr>
      <w:rFonts w:ascii="Times New Roman" w:hAnsi="Times New Roman" w:eastAsia="仿宋_GB2312" w:cs="Times New Roman"/>
      <w:kern w:val="0"/>
      <w:sz w:val="28"/>
      <w:szCs w:val="28"/>
      <w:lang w:val="en-US" w:eastAsia="zh-CN" w:bidi="ar-SA"/>
    </w:rPr>
  </w:style>
  <w:style w:type="paragraph" w:styleId="16">
    <w:name w:val="Normal (Web)"/>
    <w:basedOn w:val="1"/>
    <w:uiPriority w:val="0"/>
    <w:pPr>
      <w:widowControl w:val="0"/>
      <w:spacing w:before="100" w:beforeAutospacing="1" w:after="100" w:afterAutospacing="1" w:line="580" w:lineRule="exact"/>
      <w:ind w:left="0" w:right="0" w:firstLine="640" w:firstLineChars="200"/>
      <w:jc w:val="left"/>
    </w:pPr>
    <w:rPr>
      <w:rFonts w:ascii="仿宋_GB2312" w:hAnsi="Calibri" w:eastAsia="仿宋_GB2312" w:cs="Times New Roman"/>
      <w:kern w:val="0"/>
      <w:sz w:val="24"/>
      <w:szCs w:val="21"/>
      <w:lang w:val="en-US" w:eastAsia="zh-CN" w:bidi="ar"/>
    </w:rPr>
  </w:style>
  <w:style w:type="paragraph" w:styleId="17">
    <w:name w:val="Title"/>
    <w:basedOn w:val="1"/>
    <w:next w:val="1"/>
    <w:qFormat/>
    <w:uiPriority w:val="0"/>
    <w:pPr>
      <w:jc w:val="center"/>
      <w:outlineLvl w:val="0"/>
    </w:pPr>
    <w:rPr>
      <w:rFonts w:eastAsia="方正小标宋简体" w:asciiTheme="majorHAnsi" w:hAnsiTheme="majorHAnsi" w:cstheme="majorBidi"/>
      <w:bCs/>
      <w:sz w:val="44"/>
      <w:szCs w:val="32"/>
    </w:rPr>
  </w:style>
  <w:style w:type="paragraph" w:styleId="18">
    <w:name w:val="Body Text First Indent 2"/>
    <w:basedOn w:val="9"/>
    <w:next w:val="8"/>
    <w:uiPriority w:val="0"/>
    <w:pPr>
      <w:widowControl/>
      <w:adjustRightInd w:val="0"/>
      <w:snapToGrid w:val="0"/>
      <w:spacing w:line="360" w:lineRule="auto"/>
      <w:ind w:firstLine="420"/>
      <w:jc w:val="left"/>
    </w:pPr>
    <w:rPr>
      <w:rFonts w:cs="Times New Roman"/>
      <w:kern w:val="0"/>
      <w:sz w:val="30"/>
    </w:rPr>
  </w:style>
  <w:style w:type="table" w:styleId="20">
    <w:name w:val="Table Grid"/>
    <w:uiPriority w:val="0"/>
    <w:pPr>
      <w:spacing w:line="300" w:lineRule="exact"/>
      <w:jc w:val="center"/>
    </w:pPr>
    <w:rPr>
      <w:rFonts w:ascii="Times New Roman" w:hAnsi="Times New Roman"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trPr>
    <w:tcPr>
      <w:vAlign w:val="center"/>
    </w:tcPr>
  </w:style>
  <w:style w:type="table" w:styleId="21">
    <w:name w:val="Medium Shading 1 Accent 1"/>
    <w:basedOn w:val="19"/>
    <w:qFormat/>
    <w:uiPriority w:val="63"/>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character" w:styleId="23">
    <w:name w:val="Emphasis"/>
    <w:qFormat/>
    <w:uiPriority w:val="0"/>
    <w:rPr>
      <w:color w:val="CC0000"/>
    </w:rPr>
  </w:style>
  <w:style w:type="character" w:styleId="24">
    <w:name w:val="Hyperlink"/>
    <w:basedOn w:val="22"/>
    <w:uiPriority w:val="0"/>
    <w:rPr>
      <w:color w:val="0000FF"/>
      <w:u w:val="single"/>
    </w:rPr>
  </w:style>
  <w:style w:type="character" w:styleId="25">
    <w:name w:val="annotation reference"/>
    <w:uiPriority w:val="0"/>
    <w:rPr>
      <w:sz w:val="21"/>
      <w:szCs w:val="21"/>
    </w:rPr>
  </w:style>
  <w:style w:type="character" w:styleId="26">
    <w:name w:val="footnote reference"/>
    <w:uiPriority w:val="0"/>
    <w:rPr>
      <w:vertAlign w:val="superscript"/>
    </w:rPr>
  </w:style>
  <w:style w:type="paragraph" w:customStyle="1" w:styleId="27">
    <w:name w:val="纯文本1"/>
    <w:basedOn w:val="1"/>
    <w:qFormat/>
    <w:uiPriority w:val="0"/>
    <w:pPr>
      <w:adjustRightInd w:val="0"/>
      <w:textAlignment w:val="baseline"/>
    </w:pPr>
    <w:rPr>
      <w:rFonts w:ascii="宋体" w:hAnsi="Courier New" w:eastAsia="仿宋_GB2312" w:cs="Times New Roman"/>
      <w:sz w:val="32"/>
      <w:szCs w:val="20"/>
    </w:rPr>
  </w:style>
  <w:style w:type="character" w:customStyle="1" w:styleId="28">
    <w:name w:val="font01"/>
    <w:basedOn w:val="22"/>
    <w:qFormat/>
    <w:uiPriority w:val="0"/>
    <w:rPr>
      <w:rFonts w:hint="eastAsia" w:ascii="宋体" w:hAnsi="宋体" w:eastAsia="宋体" w:cs="宋体"/>
      <w:color w:val="000000"/>
      <w:sz w:val="24"/>
      <w:szCs w:val="24"/>
      <w:u w:val="none"/>
    </w:rPr>
  </w:style>
  <w:style w:type="character" w:customStyle="1" w:styleId="29">
    <w:name w:val="font61"/>
    <w:basedOn w:val="22"/>
    <w:qFormat/>
    <w:uiPriority w:val="0"/>
    <w:rPr>
      <w:rFonts w:hint="eastAsia" w:ascii="宋体" w:hAnsi="宋体" w:eastAsia="宋体" w:cs="宋体"/>
      <w:color w:val="000000"/>
      <w:sz w:val="20"/>
      <w:szCs w:val="20"/>
      <w:u w:val="none"/>
    </w:rPr>
  </w:style>
  <w:style w:type="character" w:customStyle="1" w:styleId="30">
    <w:name w:val="font51"/>
    <w:basedOn w:val="22"/>
    <w:qFormat/>
    <w:uiPriority w:val="0"/>
    <w:rPr>
      <w:rFonts w:hint="eastAsia" w:ascii="宋体" w:hAnsi="宋体" w:eastAsia="宋体" w:cs="宋体"/>
      <w:color w:val="000000"/>
      <w:sz w:val="20"/>
      <w:szCs w:val="20"/>
      <w:u w:val="none"/>
    </w:rPr>
  </w:style>
  <w:style w:type="paragraph" w:styleId="31">
    <w:name w:val="No Spacing"/>
    <w:qFormat/>
    <w:uiPriority w:val="1"/>
    <w:pPr>
      <w:widowControl w:val="0"/>
      <w:jc w:val="both"/>
    </w:pPr>
    <w:rPr>
      <w:rFonts w:ascii="Calibri" w:hAnsi="Calibri" w:eastAsia="仿宋_GB2312" w:cs="Times New Roman"/>
      <w:kern w:val="2"/>
      <w:sz w:val="21"/>
      <w:szCs w:val="22"/>
      <w:lang w:val="en-US" w:eastAsia="zh-CN" w:bidi="ar-SA"/>
    </w:rPr>
  </w:style>
  <w:style w:type="paragraph" w:customStyle="1" w:styleId="32">
    <w:name w:val="样式 (中文) 仿宋_GB2312 三号"/>
    <w:qFormat/>
    <w:uiPriority w:val="0"/>
    <w:pPr>
      <w:widowControl w:val="0"/>
      <w:spacing w:before="50" w:after="50" w:line="560" w:lineRule="exact"/>
      <w:ind w:firstLine="600" w:firstLineChars="200"/>
    </w:pPr>
    <w:rPr>
      <w:rFonts w:ascii="仿宋_GB2312" w:hAnsi="宋体" w:eastAsia="仿宋_GB2312" w:cs="Times New Roman"/>
      <w:bCs/>
      <w:color w:val="000000"/>
      <w:kern w:val="2"/>
      <w:sz w:val="30"/>
      <w:szCs w:val="28"/>
      <w:lang w:val="en-US" w:eastAsia="zh-CN" w:bidi="ar-SA"/>
    </w:rPr>
  </w:style>
  <w:style w:type="paragraph" w:customStyle="1" w:styleId="33">
    <w:name w:val="闻政页码"/>
    <w:qFormat/>
    <w:uiPriority w:val="6"/>
    <w:pPr>
      <w:jc w:val="center"/>
    </w:pPr>
    <w:rPr>
      <w:rFonts w:ascii="Times New Roman" w:hAnsi="Times New Roman" w:eastAsia="Times New Roman" w:cs="Times New Roman"/>
      <w:sz w:val="21"/>
      <w:szCs w:val="28"/>
      <w:lang w:val="en-US" w:eastAsia="zh-CN" w:bidi="ar-SA"/>
    </w:rPr>
  </w:style>
  <w:style w:type="paragraph" w:customStyle="1" w:styleId="34">
    <w:name w:val="闻政封面项目信息"/>
    <w:next w:val="35"/>
    <w:qFormat/>
    <w:uiPriority w:val="0"/>
    <w:pPr>
      <w:widowControl w:val="0"/>
      <w:spacing w:before="120"/>
      <w:ind w:left="800" w:leftChars="800"/>
      <w:jc w:val="left"/>
    </w:pPr>
    <w:rPr>
      <w:rFonts w:ascii="Times New Roman" w:hAnsi="Times New Roman" w:eastAsia="黑体" w:cs="Times New Roman"/>
      <w:kern w:val="0"/>
      <w:sz w:val="28"/>
      <w:szCs w:val="28"/>
      <w:lang w:val="en-US" w:eastAsia="zh-CN" w:bidi="ar-SA"/>
    </w:rPr>
  </w:style>
  <w:style w:type="paragraph" w:customStyle="1" w:styleId="35">
    <w:name w:val="闻政封面完成时间"/>
    <w:qFormat/>
    <w:uiPriority w:val="0"/>
    <w:pPr>
      <w:widowControl w:val="0"/>
      <w:spacing w:before="120"/>
      <w:ind w:left="0" w:leftChars="0"/>
      <w:jc w:val="center"/>
    </w:pPr>
    <w:rPr>
      <w:rFonts w:ascii="Times New Roman" w:hAnsi="Times New Roman" w:eastAsia="黑体" w:cs="Times New Roman"/>
      <w:b/>
      <w:kern w:val="0"/>
      <w:sz w:val="28"/>
      <w:szCs w:val="28"/>
      <w:lang w:val="en-US" w:eastAsia="zh-CN" w:bidi="ar-SA"/>
    </w:rPr>
  </w:style>
  <w:style w:type="paragraph" w:customStyle="1" w:styleId="36">
    <w:name w:val="闻政摘要标题"/>
    <w:qFormat/>
    <w:uiPriority w:val="2"/>
    <w:pPr>
      <w:widowControl w:val="0"/>
      <w:spacing w:before="480" w:after="360"/>
      <w:jc w:val="center"/>
      <w:outlineLvl w:val="0"/>
    </w:pPr>
    <w:rPr>
      <w:rFonts w:ascii="Times New Roman" w:hAnsi="Times New Roman" w:eastAsia="黑体" w:cs="Times New Roman"/>
      <w:b/>
      <w:snapToGrid w:val="0"/>
      <w:kern w:val="2"/>
      <w:sz w:val="32"/>
      <w:szCs w:val="24"/>
      <w:lang w:val="en-US" w:eastAsia="zh-CN" w:bidi="ar-SA"/>
    </w:rPr>
  </w:style>
  <w:style w:type="paragraph" w:customStyle="1" w:styleId="37">
    <w:name w:val="正文-闻政"/>
    <w:link w:val="49"/>
    <w:qFormat/>
    <w:uiPriority w:val="0"/>
    <w:pPr>
      <w:spacing w:line="500" w:lineRule="exact"/>
      <w:ind w:firstLine="200" w:firstLineChars="200"/>
    </w:pPr>
    <w:rPr>
      <w:rFonts w:ascii="等线" w:hAnsi="等线" w:eastAsia="仿宋_GB2312" w:cs="Times New Roman"/>
      <w:kern w:val="2"/>
      <w:sz w:val="28"/>
      <w:szCs w:val="22"/>
      <w:lang w:val="en-US" w:eastAsia="zh-CN" w:bidi="ar-SA"/>
    </w:rPr>
  </w:style>
  <w:style w:type="paragraph" w:customStyle="1" w:styleId="38">
    <w:name w:val="闻政封面标题"/>
    <w:next w:val="34"/>
    <w:qFormat/>
    <w:uiPriority w:val="0"/>
    <w:pPr>
      <w:widowControl w:val="0"/>
      <w:spacing w:before="480" w:after="360"/>
      <w:jc w:val="center"/>
    </w:pPr>
    <w:rPr>
      <w:rFonts w:ascii="Times New Roman" w:hAnsi="Times New Roman" w:eastAsia="黑体" w:cs="Times New Roman"/>
      <w:b/>
      <w:snapToGrid w:val="0"/>
      <w:kern w:val="2"/>
      <w:sz w:val="32"/>
      <w:szCs w:val="24"/>
      <w:lang w:val="en-US" w:eastAsia="zh-CN" w:bidi="ar-SA"/>
    </w:rPr>
  </w:style>
  <w:style w:type="paragraph" w:customStyle="1" w:styleId="39">
    <w:name w:val="闻政表"/>
    <w:qFormat/>
    <w:uiPriority w:val="0"/>
    <w:pPr>
      <w:widowControl w:val="0"/>
      <w:spacing w:before="60" w:after="60"/>
      <w:jc w:val="center"/>
    </w:pPr>
    <w:rPr>
      <w:rFonts w:ascii="Times New Roman" w:hAnsi="Times New Roman" w:eastAsia="仿宋_GB2312" w:cs="Times New Roman"/>
      <w:b/>
      <w:kern w:val="2"/>
      <w:sz w:val="24"/>
      <w:szCs w:val="28"/>
      <w:lang w:val="en-US" w:eastAsia="zh-CN" w:bidi="ar-SA"/>
    </w:rPr>
  </w:style>
  <w:style w:type="character" w:customStyle="1" w:styleId="40">
    <w:name w:val="my正文 Char"/>
    <w:link w:val="41"/>
    <w:qFormat/>
    <w:uiPriority w:val="0"/>
    <w:rPr>
      <w:rFonts w:ascii="Times New Roman" w:hAnsi="Times New Roman" w:eastAsia="仿宋" w:cs="Times New Roman"/>
      <w:kern w:val="0"/>
      <w:sz w:val="28"/>
      <w:szCs w:val="24"/>
      <w:lang w:val="en-US" w:eastAsia="zh-CN" w:bidi="ar-SA"/>
    </w:rPr>
  </w:style>
  <w:style w:type="paragraph" w:customStyle="1" w:styleId="41">
    <w:name w:val="my正文"/>
    <w:link w:val="40"/>
    <w:qFormat/>
    <w:uiPriority w:val="0"/>
    <w:pPr>
      <w:widowControl w:val="0"/>
      <w:spacing w:line="360" w:lineRule="auto"/>
      <w:ind w:firstLine="496" w:firstLineChars="177"/>
      <w:jc w:val="both"/>
    </w:pPr>
    <w:rPr>
      <w:rFonts w:ascii="Times New Roman" w:hAnsi="Times New Roman" w:eastAsia="仿宋" w:cs="Times New Roman"/>
      <w:kern w:val="0"/>
      <w:sz w:val="28"/>
      <w:szCs w:val="24"/>
      <w:lang w:val="en-US" w:eastAsia="zh-CN" w:bidi="ar-SA"/>
    </w:rPr>
  </w:style>
  <w:style w:type="character" w:customStyle="1" w:styleId="42">
    <w:name w:val="闻政正文 Char"/>
    <w:link w:val="15"/>
    <w:qFormat/>
    <w:uiPriority w:val="3"/>
    <w:rPr>
      <w:rFonts w:ascii="Times New Roman" w:hAnsi="Times New Roman" w:eastAsia="仿宋_GB2312" w:cs="Times New Roman"/>
      <w:kern w:val="0"/>
      <w:sz w:val="28"/>
      <w:szCs w:val="28"/>
      <w:lang w:val="en-US" w:eastAsia="zh-CN" w:bidi="ar-SA"/>
    </w:rPr>
  </w:style>
  <w:style w:type="paragraph" w:customStyle="1" w:styleId="43">
    <w:name w:val="闻政附件标题"/>
    <w:qFormat/>
    <w:uiPriority w:val="5"/>
    <w:pPr>
      <w:widowControl w:val="0"/>
      <w:numPr>
        <w:ilvl w:val="5"/>
        <w:numId w:val="1"/>
      </w:numPr>
      <w:spacing w:before="120" w:after="60" w:line="240" w:lineRule="auto"/>
      <w:ind w:firstLine="200" w:firstLineChars="0"/>
      <w:jc w:val="both"/>
      <w:outlineLvl w:val="0"/>
    </w:pPr>
    <w:rPr>
      <w:rFonts w:ascii="Times New Roman" w:hAnsi="Times New Roman" w:eastAsia="黑体" w:cs="Times New Roman"/>
      <w:b/>
      <w:kern w:val="0"/>
      <w:sz w:val="32"/>
      <w:szCs w:val="28"/>
      <w:lang w:val="en-US" w:eastAsia="zh-CN" w:bidi="ar-SA"/>
    </w:rPr>
  </w:style>
  <w:style w:type="paragraph" w:customStyle="1" w:styleId="44">
    <w:name w:val="闻政表文字"/>
    <w:qFormat/>
    <w:uiPriority w:val="5"/>
    <w:pPr>
      <w:widowControl/>
      <w:pBdr>
        <w:between w:val="single" w:color="auto" w:sz="4" w:space="1"/>
      </w:pBdr>
      <w:spacing w:line="320" w:lineRule="exact"/>
      <w:ind w:firstLine="0" w:firstLineChars="0"/>
      <w:jc w:val="center"/>
    </w:pPr>
    <w:rPr>
      <w:rFonts w:ascii="Times New Roman" w:hAnsi="Times New Roman" w:eastAsia="宋体" w:cs="宋体"/>
      <w:bCs/>
      <w:color w:val="000000"/>
      <w:kern w:val="0"/>
      <w:sz w:val="22"/>
      <w:szCs w:val="22"/>
      <w:lang w:val="en-US" w:eastAsia="zh-CN" w:bidi="ar-SA"/>
    </w:rPr>
  </w:style>
  <w:style w:type="paragraph" w:customStyle="1" w:styleId="45">
    <w:name w:val="正文文本样式"/>
    <w:qFormat/>
    <w:uiPriority w:val="0"/>
    <w:pPr>
      <w:spacing w:line="360" w:lineRule="auto"/>
      <w:ind w:firstLine="480" w:firstLineChars="200"/>
    </w:pPr>
    <w:rPr>
      <w:rFonts w:ascii="Arial" w:hAnsi="Arial" w:eastAsia="宋体" w:cs="Times New Roman"/>
      <w:kern w:val="2"/>
      <w:sz w:val="24"/>
      <w:szCs w:val="22"/>
      <w:lang w:val="en-US" w:eastAsia="zh-CN" w:bidi="ar-SA"/>
    </w:rPr>
  </w:style>
  <w:style w:type="paragraph" w:customStyle="1" w:styleId="46">
    <w:name w:val="闻政附件一级标题"/>
    <w:next w:val="47"/>
    <w:qFormat/>
    <w:uiPriority w:val="7"/>
    <w:pPr>
      <w:widowControl w:val="0"/>
      <w:spacing w:before="120" w:after="60" w:line="500" w:lineRule="exact"/>
      <w:ind w:firstLine="0" w:firstLineChars="0"/>
      <w:jc w:val="left"/>
    </w:pPr>
    <w:rPr>
      <w:rFonts w:ascii="Times New Roman" w:hAnsi="Times New Roman" w:eastAsia="仿宋_GB2312" w:cs="宋体"/>
      <w:b/>
      <w:kern w:val="0"/>
      <w:sz w:val="28"/>
      <w:szCs w:val="28"/>
      <w:lang w:val="en-US" w:eastAsia="zh-CN" w:bidi="ar-SA"/>
    </w:rPr>
  </w:style>
  <w:style w:type="paragraph" w:customStyle="1" w:styleId="47">
    <w:name w:val="闻政附件正文"/>
    <w:qFormat/>
    <w:uiPriority w:val="99"/>
    <w:pPr>
      <w:widowControl w:val="0"/>
      <w:spacing w:line="500" w:lineRule="exact"/>
      <w:ind w:firstLine="200" w:firstLineChars="200"/>
      <w:jc w:val="both"/>
    </w:pPr>
    <w:rPr>
      <w:rFonts w:ascii="Times New Roman" w:hAnsi="Times New Roman" w:eastAsia="仿宋_GB2312" w:cs="Times New Roman"/>
      <w:kern w:val="0"/>
      <w:sz w:val="24"/>
      <w:szCs w:val="28"/>
      <w:lang w:val="en-US" w:eastAsia="zh-CN" w:bidi="ar-SA"/>
    </w:rPr>
  </w:style>
  <w:style w:type="paragraph" w:customStyle="1" w:styleId="48">
    <w:name w:val="闻政附件报告名"/>
    <w:qFormat/>
    <w:uiPriority w:val="9"/>
    <w:pPr>
      <w:widowControl w:val="0"/>
      <w:spacing w:before="120" w:after="60" w:line="500" w:lineRule="exact"/>
      <w:ind w:firstLine="0" w:firstLineChars="0"/>
      <w:jc w:val="center"/>
    </w:pPr>
    <w:rPr>
      <w:rFonts w:ascii="Times New Roman" w:hAnsi="Times New Roman" w:eastAsia="仿宋_GB2312" w:cs="Times New Roman"/>
      <w:b/>
      <w:kern w:val="0"/>
      <w:sz w:val="28"/>
      <w:szCs w:val="28"/>
      <w:lang w:val="en-US" w:eastAsia="zh-CN" w:bidi="ar-SA"/>
    </w:rPr>
  </w:style>
  <w:style w:type="character" w:customStyle="1" w:styleId="49">
    <w:name w:val="正文-闻政 Char"/>
    <w:link w:val="37"/>
    <w:qFormat/>
    <w:uiPriority w:val="0"/>
    <w:rPr>
      <w:rFonts w:ascii="等线" w:hAnsi="等线" w:eastAsia="仿宋_GB2312"/>
      <w:kern w:val="2"/>
      <w:sz w:val="28"/>
      <w:szCs w:val="22"/>
      <w:lang w:val="en-US" w:eastAsia="zh-CN" w:bidi="ar-SA"/>
    </w:rPr>
  </w:style>
  <w:style w:type="paragraph" w:customStyle="1" w:styleId="50">
    <w:name w:val="列出段落1"/>
    <w:qFormat/>
    <w:uiPriority w:val="34"/>
    <w:pPr>
      <w:widowControl w:val="0"/>
      <w:ind w:firstLine="420" w:firstLineChars="200"/>
      <w:jc w:val="both"/>
    </w:pPr>
    <w:rPr>
      <w:rFonts w:ascii="Calibri" w:hAnsi="Calibri" w:eastAsia="宋体" w:cs="Times New Roman"/>
      <w:kern w:val="0"/>
      <w:sz w:val="20"/>
      <w:szCs w:val="20"/>
      <w:lang w:val="en-US" w:eastAsia="zh-CN" w:bidi="ar-SA"/>
    </w:rPr>
  </w:style>
  <w:style w:type="paragraph" w:customStyle="1" w:styleId="51">
    <w:name w:val="正文首行缩进1"/>
    <w:qFormat/>
    <w:uiPriority w:val="0"/>
    <w:pPr>
      <w:spacing w:after="120"/>
      <w:ind w:firstLine="420"/>
    </w:pPr>
    <w:rPr>
      <w:rFonts w:eastAsia="Calibri" w:cs="Calibri" w:asciiTheme="minorHAnsi" w:hAnsiTheme="minorHAnsi"/>
      <w:color w:val="000000"/>
      <w:kern w:val="2"/>
      <w:sz w:val="21"/>
      <w:szCs w:val="21"/>
      <w:lang w:val="en-US" w:eastAsia="zh-CN" w:bidi="ar-SA"/>
    </w:rPr>
  </w:style>
  <w:style w:type="paragraph" w:customStyle="1" w:styleId="52">
    <w:name w:val="BodyText1I2"/>
    <w:basedOn w:val="1"/>
    <w:qFormat/>
    <w:uiPriority w:val="0"/>
    <w:pPr>
      <w:widowControl/>
      <w:spacing w:after="156"/>
      <w:ind w:left="420" w:leftChars="200" w:firstLine="420"/>
      <w:jc w:val="left"/>
    </w:pPr>
    <w:rPr>
      <w:color w:val="000000"/>
      <w:sz w:val="24"/>
      <w:szCs w:val="20"/>
    </w:rPr>
  </w:style>
  <w:style w:type="character" w:customStyle="1" w:styleId="53">
    <w:name w:val="NormalCharacter"/>
    <w:semiHidden/>
    <w:qFormat/>
    <w:uiPriority w:val="0"/>
    <w:rPr>
      <w:rFonts w:hint="default" w:ascii="Times New Roman" w:hAnsi="Times New Roman" w:eastAsia="仿宋_GB2312" w:cs="Times New Roman"/>
      <w:kern w:val="2"/>
      <w:sz w:val="30"/>
      <w:szCs w:val="24"/>
      <w:lang w:val="en-US" w:eastAsia="zh-CN" w:bidi="ar-SA"/>
    </w:rPr>
  </w:style>
  <w:style w:type="paragraph" w:customStyle="1" w:styleId="54">
    <w:name w:val="样式11"/>
    <w:basedOn w:val="1"/>
    <w:qFormat/>
    <w:uiPriority w:val="0"/>
    <w:pPr>
      <w:spacing w:line="600" w:lineRule="exact"/>
      <w:ind w:firstLine="602" w:firstLineChars="200"/>
    </w:pPr>
    <w:rPr>
      <w:rFonts w:ascii="宋体" w:hAnsi="宋体" w:eastAsiaTheme="minorEastAsia" w:cstheme="minorBidi"/>
      <w:b/>
      <w:sz w:val="30"/>
      <w:szCs w:val="30"/>
    </w:rPr>
  </w:style>
  <w:style w:type="paragraph" w:customStyle="1" w:styleId="55">
    <w:name w:val="正文 A"/>
    <w:qFormat/>
    <w:uiPriority w:val="0"/>
    <w:pPr>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56">
    <w:name w:val="首行缩进"/>
    <w:basedOn w:val="1"/>
    <w:qFormat/>
    <w:uiPriority w:val="99"/>
    <w:pPr>
      <w:spacing w:line="360" w:lineRule="auto"/>
      <w:ind w:firstLine="480" w:firstLineChars="200"/>
    </w:pPr>
    <w:rPr>
      <w:rFonts w:ascii="宋体" w:hAnsi="宋体" w:cs="宋体"/>
      <w:kern w:val="0"/>
    </w:rPr>
  </w:style>
  <w:style w:type="paragraph" w:customStyle="1" w:styleId="57">
    <w:name w:val="Style1"/>
    <w:basedOn w:val="1"/>
    <w:qFormat/>
    <w:uiPriority w:val="0"/>
    <w:pPr>
      <w:widowControl/>
      <w:tabs>
        <w:tab w:val="left" w:pos="-720"/>
      </w:tabs>
      <w:spacing w:after="120" w:line="400" w:lineRule="exact"/>
      <w:ind w:firstLine="200" w:firstLineChars="200"/>
    </w:pPr>
    <w:rPr>
      <w:rFonts w:ascii="Times New Roman" w:hAnsi="Times New Roman"/>
      <w:spacing w:val="-3"/>
      <w:kern w:val="0"/>
      <w:sz w:val="24"/>
      <w:lang w:val="en-AU" w:eastAsia="en-US"/>
    </w:rPr>
  </w:style>
  <w:style w:type="character" w:customStyle="1" w:styleId="58">
    <w:name w:val="副标题 Char"/>
    <w:basedOn w:val="22"/>
    <w:link w:val="12"/>
    <w:qFormat/>
    <w:uiPriority w:val="11"/>
    <w:rPr>
      <w:rFonts w:asciiTheme="majorHAnsi" w:hAnsiTheme="majorHAnsi" w:eastAsiaTheme="majorEastAsia" w:cstheme="majorBidi"/>
      <w:i/>
      <w:iCs/>
      <w:color w:val="5B9BD5" w:themeColor="accent1"/>
      <w:spacing w:val="15"/>
      <w:kern w:val="0"/>
      <w:sz w:val="24"/>
      <w:szCs w:val="24"/>
      <w14:textFill>
        <w14:solidFill>
          <w14:schemeClr w14:val="accent1"/>
        </w14:solidFill>
      </w14:textFill>
    </w:rPr>
  </w:style>
  <w:style w:type="paragraph" w:customStyle="1" w:styleId="59">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header" Target="header10.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584</Words>
  <Characters>624</Characters>
  <Lines>0</Lines>
  <Paragraphs>0</Paragraphs>
  <TotalTime>2</TotalTime>
  <ScaleCrop>false</ScaleCrop>
  <LinksUpToDate>false</LinksUpToDate>
  <CharactersWithSpaces>628</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2023-11-13T08:20:00Z</dcterms:created>
  <dc:creator>rebirth</dc:creator>
  <cp:lastModifiedBy>座头鲸9395</cp:lastModifiedBy>
  <cp:lastPrinted>2025-10-24T02:25:00Z</cp:lastPrinted>
  <dcterms:modified xsi:type="dcterms:W3CDTF">2025-10-27T02:47:53Z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572C99FD7544480F812BB6D1A0F715B7_13</vt:lpwstr>
  </property>
  <property fmtid="{D5CDD505-2E9C-101B-9397-08002B2CF9AE}" pid="4" name="KSOTemplateDocerSaveRecord">
    <vt:lpwstr>eyJoZGlkIjoiY2RmMDcwYWQ2ODM3ZDQwMzBjMzczOTg0ZDVhMzU3YzQiLCJ1c2VySWQiOiIxMTQ2MDAzNzk0In0=</vt:lpwstr>
  </property>
</Properties>
</file>