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3EFE4E">
      <w:pPr>
        <w:keepNext w:val="0"/>
        <w:keepLines w:val="0"/>
        <w:pageBreakBefore w:val="0"/>
        <w:widowControl/>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cs="Times New Roman"/>
          <w:kern w:val="0"/>
          <w:sz w:val="44"/>
          <w:szCs w:val="44"/>
        </w:rPr>
      </w:pPr>
      <w:r>
        <w:rPr>
          <w:rFonts w:hint="default" w:ascii="Times New Roman" w:hAnsi="Times New Roman" w:eastAsia="方正小标宋简体" w:cs="Times New Roman"/>
          <w:kern w:val="0"/>
          <w:sz w:val="44"/>
          <w:szCs w:val="44"/>
          <w:lang w:eastAsia="zh-CN"/>
        </w:rPr>
        <w:t>威海市</w:t>
      </w:r>
      <w:r>
        <w:rPr>
          <w:rFonts w:hint="default" w:ascii="Times New Roman" w:hAnsi="Times New Roman" w:eastAsia="方正小标宋简体" w:cs="Times New Roman"/>
          <w:kern w:val="0"/>
          <w:sz w:val="44"/>
          <w:szCs w:val="44"/>
        </w:rPr>
        <w:t>文登区</w:t>
      </w:r>
      <w:r>
        <w:rPr>
          <w:rFonts w:hint="default" w:ascii="Times New Roman" w:hAnsi="Times New Roman" w:eastAsia="方正小标宋简体" w:cs="Times New Roman"/>
          <w:kern w:val="0"/>
          <w:sz w:val="44"/>
          <w:szCs w:val="44"/>
          <w:lang w:eastAsia="zh-CN"/>
        </w:rPr>
        <w:t>工业和信息化</w:t>
      </w:r>
      <w:r>
        <w:rPr>
          <w:rFonts w:hint="default" w:ascii="Times New Roman" w:hAnsi="Times New Roman" w:eastAsia="方正小标宋简体" w:cs="Times New Roman"/>
          <w:kern w:val="0"/>
          <w:sz w:val="44"/>
          <w:szCs w:val="44"/>
        </w:rPr>
        <w:t>局</w:t>
      </w:r>
    </w:p>
    <w:p w14:paraId="35059AA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default" w:ascii="Times New Roman" w:hAnsi="Times New Roman" w:eastAsia="仿宋_GB2312" w:cs="Times New Roman"/>
        </w:rPr>
      </w:pPr>
      <w:r>
        <w:rPr>
          <w:rFonts w:hint="default" w:ascii="Times New Roman" w:hAnsi="Times New Roman" w:eastAsia="方正小标宋简体" w:cs="Times New Roman"/>
          <w:kern w:val="0"/>
          <w:sz w:val="44"/>
          <w:szCs w:val="44"/>
        </w:rPr>
        <w:t>20</w:t>
      </w:r>
      <w:r>
        <w:rPr>
          <w:rFonts w:hint="default" w:ascii="Times New Roman" w:hAnsi="Times New Roman" w:eastAsia="方正小标宋简体" w:cs="Times New Roman"/>
          <w:kern w:val="0"/>
          <w:sz w:val="44"/>
          <w:szCs w:val="44"/>
          <w:lang w:val="en-US" w:eastAsia="zh-CN"/>
        </w:rPr>
        <w:t>22</w:t>
      </w:r>
      <w:r>
        <w:rPr>
          <w:rFonts w:hint="default" w:ascii="Times New Roman" w:hAnsi="Times New Roman" w:eastAsia="方正小标宋简体" w:cs="Times New Roman"/>
          <w:kern w:val="0"/>
          <w:sz w:val="44"/>
          <w:szCs w:val="44"/>
        </w:rPr>
        <w:t>年政府信息公开</w:t>
      </w:r>
      <w:r>
        <w:rPr>
          <w:rFonts w:hint="default" w:ascii="Times New Roman" w:hAnsi="Times New Roman" w:eastAsia="方正小标宋简体" w:cs="Times New Roman"/>
          <w:kern w:val="0"/>
          <w:sz w:val="44"/>
          <w:szCs w:val="44"/>
          <w:lang w:eastAsia="zh-CN"/>
        </w:rPr>
        <w:t>工作年度</w:t>
      </w:r>
      <w:r>
        <w:rPr>
          <w:rFonts w:hint="default" w:ascii="Times New Roman" w:hAnsi="Times New Roman" w:eastAsia="方正小标宋简体" w:cs="Times New Roman"/>
          <w:kern w:val="0"/>
          <w:sz w:val="44"/>
          <w:szCs w:val="44"/>
        </w:rPr>
        <w:t>报告</w:t>
      </w:r>
    </w:p>
    <w:p w14:paraId="01ACFC6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textAlignment w:val="auto"/>
        <w:rPr>
          <w:rFonts w:hint="default" w:ascii="Times New Roman" w:hAnsi="Times New Roman" w:eastAsia="仿宋_GB2312" w:cs="Times New Roman"/>
          <w:sz w:val="32"/>
          <w:szCs w:val="32"/>
        </w:rPr>
      </w:pPr>
    </w:p>
    <w:p w14:paraId="0A6AA382">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根据《中华人民共和国政府信息公开条例》要求，文登区工业和信息化局制作并公开2022年政府信息公开工作年度报告。本报告由总体情况，行政机关主动公开政府信息的情况，因政府信息公开工作被申请行政复议、提起行政诉讼的情况，行政机关收到和处理政府信息公开申请的情况，政府信息公开工作存在的主要问题及改进情况，其他需要报告的事项共六部分组成。</w:t>
      </w:r>
    </w:p>
    <w:p w14:paraId="1DB1EB59">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本报告中所列数据的统计时限自2022年1月1日起至2022年12月31日止。本报告的电子版可在威海市文登区人民政府门户网站（http://www.wendeng.gov.cn）政府信息公开专栏查阅。如对本报告有疑问，请与威海市文登区工业和信息化局办公室联系（地址：威海市文登区龙山路52号，邮编：264400，电话：0631—8451391）。</w:t>
      </w:r>
    </w:p>
    <w:p w14:paraId="40D0B6F5">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黑体" w:cs="Times New Roman"/>
          <w:b w:val="0"/>
          <w:bCs/>
          <w:i w:val="0"/>
          <w:iCs w:val="0"/>
          <w:caps w:val="0"/>
          <w:color w:val="000000"/>
          <w:spacing w:val="0"/>
          <w:sz w:val="32"/>
          <w:szCs w:val="32"/>
        </w:rPr>
      </w:pPr>
      <w:r>
        <w:rPr>
          <w:rStyle w:val="5"/>
          <w:rFonts w:hint="default" w:ascii="Times New Roman" w:hAnsi="Times New Roman" w:eastAsia="黑体" w:cs="Times New Roman"/>
          <w:b w:val="0"/>
          <w:bCs/>
          <w:i w:val="0"/>
          <w:iCs w:val="0"/>
          <w:caps w:val="0"/>
          <w:color w:val="000000"/>
          <w:spacing w:val="0"/>
          <w:sz w:val="32"/>
          <w:szCs w:val="32"/>
        </w:rPr>
        <w:t>一、总体情况</w:t>
      </w:r>
    </w:p>
    <w:p w14:paraId="7CCA86A7">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2022年，我局认真贯彻执行《中华人民共和国政府信息公开条例》要求和省、市、区有关政府信息公开文件精神，紧密结合统计工作特点，积极推动政府信息公开、透明、规范，逐步完善政府信息公开服务平台，不断提高信息公开工作水平，努力提升政务公开质量和实效。</w:t>
      </w:r>
    </w:p>
    <w:p w14:paraId="6C924FCD">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楷体_GB2312" w:cs="Times New Roman"/>
          <w:i w:val="0"/>
          <w:iCs w:val="0"/>
          <w:caps w:val="0"/>
          <w:color w:val="000000"/>
          <w:spacing w:val="0"/>
          <w:sz w:val="32"/>
          <w:szCs w:val="32"/>
        </w:rPr>
      </w:pPr>
      <w:r>
        <w:rPr>
          <w:rFonts w:hint="default" w:ascii="Times New Roman" w:hAnsi="Times New Roman" w:eastAsia="楷体_GB2312" w:cs="Times New Roman"/>
          <w:i w:val="0"/>
          <w:iCs w:val="0"/>
          <w:caps w:val="0"/>
          <w:color w:val="000000"/>
          <w:spacing w:val="0"/>
          <w:sz w:val="32"/>
          <w:szCs w:val="32"/>
        </w:rPr>
        <w:t>（一）主动公开工作情况</w:t>
      </w:r>
    </w:p>
    <w:p w14:paraId="3F91651E">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2022年度，我局通过政府网站发布各类政府信息共计110条，其中：机构职能3条，工作动态50条，政策文件及政策解读17条，重点领域信息公开24条，政务公开组织推进5条，其他信息11条。</w:t>
      </w:r>
    </w:p>
    <w:p w14:paraId="6FBE2AF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5" w:lineRule="atLeast"/>
        <w:ind w:left="0" w:leftChars="0" w:right="0" w:firstLine="640" w:firstLineChars="200"/>
        <w:jc w:val="both"/>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spacing w:val="0"/>
          <w:sz w:val="32"/>
          <w:szCs w:val="32"/>
          <w:shd w:val="clear" w:fill="FFFFFF"/>
        </w:rPr>
        <w:t> </w:t>
      </w:r>
      <w:r>
        <w:rPr>
          <w:rFonts w:hint="default" w:ascii="Times New Roman" w:hAnsi="Times New Roman" w:eastAsia="仿宋_GB2312" w:cs="Times New Roman"/>
          <w:spacing w:val="0"/>
          <w:sz w:val="31"/>
          <w:szCs w:val="31"/>
          <w:shd w:val="clear" w:fill="FFFFFF"/>
        </w:rPr>
        <w:drawing>
          <wp:inline distT="0" distB="0" distL="114300" distR="114300">
            <wp:extent cx="5273040" cy="2373630"/>
            <wp:effectExtent l="0" t="0" r="3810" b="7620"/>
            <wp:docPr id="10" name="图片 10" descr="c591bdb3a613463597ecbe4a0dd595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c591bdb3a613463597ecbe4a0dd595a"/>
                    <pic:cNvPicPr>
                      <a:picLocks noChangeAspect="1"/>
                    </pic:cNvPicPr>
                  </pic:nvPicPr>
                  <pic:blipFill>
                    <a:blip r:embed="rId4"/>
                    <a:stretch>
                      <a:fillRect/>
                    </a:stretch>
                  </pic:blipFill>
                  <pic:spPr>
                    <a:xfrm>
                      <a:off x="0" y="0"/>
                      <a:ext cx="5273040" cy="2373630"/>
                    </a:xfrm>
                    <a:prstGeom prst="rect">
                      <a:avLst/>
                    </a:prstGeom>
                  </pic:spPr>
                </pic:pic>
              </a:graphicData>
            </a:graphic>
          </wp:inline>
        </w:drawing>
      </w:r>
      <w:r>
        <w:rPr>
          <w:rFonts w:hint="default" w:ascii="Times New Roman" w:hAnsi="Times New Roman" w:eastAsia="仿宋_GB2312" w:cs="Times New Roman"/>
          <w:sz w:val="31"/>
          <w:szCs w:val="31"/>
        </w:rPr>
        <w:t> </w:t>
      </w:r>
    </w:p>
    <w:p w14:paraId="4EE33A0C">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楷体_GB2312" w:cs="Times New Roman"/>
          <w:i w:val="0"/>
          <w:iCs w:val="0"/>
          <w:caps w:val="0"/>
          <w:color w:val="000000"/>
          <w:spacing w:val="0"/>
          <w:sz w:val="32"/>
          <w:szCs w:val="32"/>
        </w:rPr>
      </w:pPr>
      <w:r>
        <w:rPr>
          <w:rFonts w:hint="default" w:ascii="Times New Roman" w:hAnsi="Times New Roman" w:eastAsia="楷体_GB2312" w:cs="Times New Roman"/>
          <w:i w:val="0"/>
          <w:iCs w:val="0"/>
          <w:caps w:val="0"/>
          <w:color w:val="000000"/>
          <w:spacing w:val="0"/>
          <w:sz w:val="32"/>
          <w:szCs w:val="32"/>
        </w:rPr>
        <w:t>（二）依申请公开工作情况</w:t>
      </w:r>
    </w:p>
    <w:p w14:paraId="0A4D0EAB">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2022年，威海市文登区工业和信息化局未收到政府信息依申请公开。</w:t>
      </w:r>
    </w:p>
    <w:p w14:paraId="43B16447">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楷体_GB2312" w:cs="Times New Roman"/>
          <w:i w:val="0"/>
          <w:iCs w:val="0"/>
          <w:caps w:val="0"/>
          <w:color w:val="000000"/>
          <w:spacing w:val="0"/>
          <w:sz w:val="32"/>
          <w:szCs w:val="32"/>
        </w:rPr>
      </w:pPr>
      <w:r>
        <w:rPr>
          <w:rFonts w:hint="default" w:ascii="Times New Roman" w:hAnsi="Times New Roman" w:eastAsia="楷体_GB2312" w:cs="Times New Roman"/>
          <w:i w:val="0"/>
          <w:iCs w:val="0"/>
          <w:caps w:val="0"/>
          <w:color w:val="000000"/>
          <w:spacing w:val="0"/>
          <w:sz w:val="32"/>
          <w:szCs w:val="32"/>
        </w:rPr>
        <w:t>（三）政府信息管理情况</w:t>
      </w:r>
    </w:p>
    <w:p w14:paraId="588359AE">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根据局领导班子人员和工作分工的变化情况，及时调整充实了文登区工业和信息化局政府信息公开工作领导小组成员，确保组织机构健全、工作人员到位、职责分工明确。局办公室牵头负责，统筹各科室、各单位政务公开工作协同落实。依照《中华人民共和国保守国家秘密法》以及其他法律、法规和国家有关规定，建立健全保密审查机制，履行保密审查职能，按照“谁公开、谁负责”“先审查后公开”的原则，依法对拟公开的政府信息进行保密审查，未经保密审查的政府信息不得公开。</w:t>
      </w:r>
    </w:p>
    <w:p w14:paraId="363E917B">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楷体_GB2312" w:cs="Times New Roman"/>
          <w:i w:val="0"/>
          <w:iCs w:val="0"/>
          <w:caps w:val="0"/>
          <w:color w:val="000000"/>
          <w:spacing w:val="0"/>
          <w:sz w:val="32"/>
          <w:szCs w:val="32"/>
        </w:rPr>
      </w:pPr>
      <w:r>
        <w:rPr>
          <w:rFonts w:hint="default" w:ascii="Times New Roman" w:hAnsi="Times New Roman" w:eastAsia="楷体_GB2312" w:cs="Times New Roman"/>
          <w:i w:val="0"/>
          <w:iCs w:val="0"/>
          <w:caps w:val="0"/>
          <w:color w:val="000000"/>
          <w:spacing w:val="0"/>
          <w:sz w:val="32"/>
          <w:szCs w:val="32"/>
        </w:rPr>
        <w:t>（四）政府信息公开平台建设情况</w:t>
      </w:r>
    </w:p>
    <w:p w14:paraId="6278B915">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根据政务公开工作要求，将重点工业信息在政府网站发布，方便社会公众及时了解威海市文登区工业和信息化局工作发展动态。开通了“文登工信”在线微信公众号，统筹推进政务新媒体与网站的协同联动、融合发展，加大公开力度，为群众了解工业和信息化提供方便。2022年，通过区广播电台开展“行风热线”上线访谈1次。为充分发挥政策资金的引导作用，激励企业膨胀升级、加快发展，我局会同其他部门召开关于《文登区关于加快工业和信息产业发展的扶持意见》新闻发布会。</w:t>
      </w:r>
    </w:p>
    <w:p w14:paraId="22DE3D38">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楷体_GB2312" w:cs="Times New Roman"/>
          <w:i w:val="0"/>
          <w:iCs w:val="0"/>
          <w:caps w:val="0"/>
          <w:color w:val="000000"/>
          <w:spacing w:val="0"/>
          <w:sz w:val="32"/>
          <w:szCs w:val="32"/>
        </w:rPr>
      </w:pPr>
      <w:r>
        <w:rPr>
          <w:rFonts w:hint="default" w:ascii="Times New Roman" w:hAnsi="Times New Roman" w:eastAsia="楷体_GB2312" w:cs="Times New Roman"/>
          <w:i w:val="0"/>
          <w:iCs w:val="0"/>
          <w:caps w:val="0"/>
          <w:color w:val="000000"/>
          <w:spacing w:val="0"/>
          <w:sz w:val="32"/>
          <w:szCs w:val="32"/>
        </w:rPr>
        <w:t>（五）监督保障情况</w:t>
      </w:r>
    </w:p>
    <w:p w14:paraId="0D67188D">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结合工作实际对包括《政府信息依申请公开工作流程细则》等在内的政务公开制度进行了修改完善，拟定了年度政府信息公开工作方案和年度工作计划。根据工作开展情况，进一步修改完善了关于发布审核、保密管理等制度。坚持“源头把控，及时整改”的工作思路，办公室设置一名政务公开工作人员，定期参加政务公开培训会，并安排专人对新发布信息进行审核，严格执行保密规定，严格把控信息质量。</w:t>
      </w:r>
    </w:p>
    <w:p w14:paraId="0DF958A0">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黑体" w:cs="Times New Roman"/>
          <w:b w:val="0"/>
          <w:bCs/>
          <w:i w:val="0"/>
          <w:iCs w:val="0"/>
          <w:caps w:val="0"/>
          <w:color w:val="000000"/>
          <w:spacing w:val="0"/>
          <w:sz w:val="32"/>
          <w:szCs w:val="32"/>
        </w:rPr>
      </w:pPr>
      <w:r>
        <w:rPr>
          <w:rStyle w:val="5"/>
          <w:rFonts w:hint="default" w:ascii="Times New Roman" w:hAnsi="Times New Roman" w:eastAsia="黑体" w:cs="Times New Roman"/>
          <w:b w:val="0"/>
          <w:bCs/>
          <w:i w:val="0"/>
          <w:iCs w:val="0"/>
          <w:caps w:val="0"/>
          <w:color w:val="000000"/>
          <w:spacing w:val="0"/>
          <w:sz w:val="32"/>
          <w:szCs w:val="32"/>
        </w:rPr>
        <w:t>二、行政机关主动公开政府信息的情况</w:t>
      </w:r>
    </w:p>
    <w:p w14:paraId="120C7899">
      <w:pPr>
        <w:keepNext w:val="0"/>
        <w:keepLines w:val="0"/>
        <w:pageBreakBefore w:val="0"/>
        <w:widowControl/>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cs="Times New Roman"/>
        </w:rPr>
      </w:pPr>
      <w:r>
        <w:rPr>
          <w:rFonts w:hint="default" w:ascii="Times New Roman" w:hAnsi="Times New Roman" w:cs="Times New Roman"/>
        </w:rPr>
        <w:drawing>
          <wp:inline distT="0" distB="0" distL="114300" distR="114300">
            <wp:extent cx="5321935" cy="4382770"/>
            <wp:effectExtent l="0" t="0" r="12065" b="1778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5"/>
                    <a:srcRect r="19624" b="3831"/>
                    <a:stretch>
                      <a:fillRect/>
                    </a:stretch>
                  </pic:blipFill>
                  <pic:spPr>
                    <a:xfrm>
                      <a:off x="0" y="0"/>
                      <a:ext cx="5321935" cy="4382770"/>
                    </a:xfrm>
                    <a:prstGeom prst="rect">
                      <a:avLst/>
                    </a:prstGeom>
                    <a:noFill/>
                    <a:ln w="9525">
                      <a:noFill/>
                    </a:ln>
                  </pic:spPr>
                </pic:pic>
              </a:graphicData>
            </a:graphic>
          </wp:inline>
        </w:drawing>
      </w:r>
    </w:p>
    <w:p w14:paraId="3FF0DAD7">
      <w:pPr>
        <w:keepNext w:val="0"/>
        <w:keepLines w:val="0"/>
        <w:pageBreakBefore w:val="0"/>
        <w:widowControl/>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cs="Times New Roman"/>
        </w:rPr>
      </w:pPr>
    </w:p>
    <w:p w14:paraId="7FBB89CE">
      <w:pPr>
        <w:keepNext w:val="0"/>
        <w:keepLines w:val="0"/>
        <w:pageBreakBefore w:val="0"/>
        <w:widowControl/>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cs="Times New Roman"/>
        </w:rPr>
      </w:pPr>
    </w:p>
    <w:p w14:paraId="23BF95C7">
      <w:pPr>
        <w:keepNext w:val="0"/>
        <w:keepLines w:val="0"/>
        <w:pageBreakBefore w:val="0"/>
        <w:widowControl/>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cs="Times New Roman"/>
        </w:rPr>
      </w:pPr>
    </w:p>
    <w:p w14:paraId="6DC10931">
      <w:pPr>
        <w:keepNext w:val="0"/>
        <w:keepLines w:val="0"/>
        <w:pageBreakBefore w:val="0"/>
        <w:widowControl/>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cs="Times New Roman"/>
        </w:rPr>
      </w:pPr>
    </w:p>
    <w:p w14:paraId="4776F5BA">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rPr>
      </w:pPr>
      <w:r>
        <w:rPr>
          <w:rFonts w:hint="default" w:ascii="Times New Roman" w:hAnsi="Times New Roman" w:eastAsia="黑体" w:cs="Times New Roman"/>
          <w:kern w:val="0"/>
          <w:sz w:val="32"/>
          <w:szCs w:val="32"/>
        </w:rPr>
        <w:t>三、</w:t>
      </w:r>
      <w:r>
        <w:rPr>
          <w:rFonts w:hint="default" w:ascii="Times New Roman" w:hAnsi="Times New Roman" w:eastAsia="黑体" w:cs="Times New Roman"/>
          <w:kern w:val="0"/>
          <w:sz w:val="32"/>
          <w:szCs w:val="32"/>
          <w:lang w:eastAsia="zh-CN"/>
        </w:rPr>
        <w:t>行政机关</w:t>
      </w:r>
      <w:r>
        <w:rPr>
          <w:rFonts w:hint="default" w:ascii="Times New Roman" w:hAnsi="Times New Roman" w:eastAsia="黑体" w:cs="Times New Roman"/>
          <w:kern w:val="0"/>
          <w:sz w:val="32"/>
          <w:szCs w:val="32"/>
        </w:rPr>
        <w:t>收到和处理政府信</w:t>
      </w:r>
      <w:r>
        <w:rPr>
          <w:rFonts w:hint="default" w:ascii="Times New Roman" w:hAnsi="Times New Roman" w:eastAsia="黑体" w:cs="Times New Roman"/>
          <w:b w:val="0"/>
          <w:bCs w:val="0"/>
          <w:kern w:val="0"/>
          <w:sz w:val="32"/>
          <w:szCs w:val="32"/>
        </w:rPr>
        <w:t>息公</w:t>
      </w:r>
      <w:r>
        <w:rPr>
          <w:rFonts w:hint="default" w:ascii="Times New Roman" w:hAnsi="Times New Roman" w:eastAsia="黑体" w:cs="Times New Roman"/>
          <w:kern w:val="0"/>
          <w:sz w:val="32"/>
          <w:szCs w:val="32"/>
        </w:rPr>
        <w:t>开申请</w:t>
      </w:r>
      <w:r>
        <w:rPr>
          <w:rFonts w:hint="default" w:ascii="Times New Roman" w:hAnsi="Times New Roman" w:eastAsia="黑体" w:cs="Times New Roman"/>
          <w:kern w:val="0"/>
          <w:sz w:val="32"/>
          <w:szCs w:val="32"/>
          <w:lang w:eastAsia="zh-CN"/>
        </w:rPr>
        <w:t>的</w:t>
      </w:r>
      <w:r>
        <w:rPr>
          <w:rFonts w:hint="default" w:ascii="Times New Roman" w:hAnsi="Times New Roman" w:eastAsia="黑体" w:cs="Times New Roman"/>
          <w:kern w:val="0"/>
          <w:sz w:val="32"/>
          <w:szCs w:val="32"/>
        </w:rPr>
        <w:t>情况</w:t>
      </w:r>
    </w:p>
    <w:p w14:paraId="16DA714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黑体" w:cs="Times New Roman"/>
          <w:sz w:val="32"/>
          <w:szCs w:val="32"/>
          <w:lang w:eastAsia="zh-CN"/>
        </w:rPr>
      </w:pPr>
      <w:r>
        <w:rPr>
          <w:rFonts w:hint="default" w:ascii="Times New Roman" w:hAnsi="Times New Roman" w:cs="Times New Roman"/>
        </w:rPr>
        <w:drawing>
          <wp:inline distT="0" distB="0" distL="114300" distR="114300">
            <wp:extent cx="5611495" cy="6957695"/>
            <wp:effectExtent l="0" t="0" r="8255" b="14605"/>
            <wp:docPr id="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pic:cNvPicPr>
                      <a:picLocks noChangeAspect="1"/>
                    </pic:cNvPicPr>
                  </pic:nvPicPr>
                  <pic:blipFill>
                    <a:blip r:embed="rId6"/>
                    <a:stretch>
                      <a:fillRect/>
                    </a:stretch>
                  </pic:blipFill>
                  <pic:spPr>
                    <a:xfrm>
                      <a:off x="0" y="0"/>
                      <a:ext cx="5611495" cy="6957695"/>
                    </a:xfrm>
                    <a:prstGeom prst="rect">
                      <a:avLst/>
                    </a:prstGeom>
                    <a:noFill/>
                    <a:ln w="9525">
                      <a:noFill/>
                    </a:ln>
                  </pic:spPr>
                </pic:pic>
              </a:graphicData>
            </a:graphic>
          </wp:inline>
        </w:drawing>
      </w:r>
    </w:p>
    <w:p w14:paraId="685B4AF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val="0"/>
          <w:sz w:val="32"/>
          <w:szCs w:val="32"/>
        </w:rPr>
      </w:pPr>
      <w:r>
        <w:rPr>
          <w:rFonts w:hint="default" w:ascii="Times New Roman" w:hAnsi="Times New Roman" w:eastAsia="黑体" w:cs="Times New Roman"/>
          <w:b w:val="0"/>
          <w:bCs w:val="0"/>
          <w:sz w:val="32"/>
          <w:szCs w:val="32"/>
          <w:lang w:eastAsia="zh-CN"/>
        </w:rPr>
        <w:t>四</w:t>
      </w:r>
      <w:r>
        <w:rPr>
          <w:rFonts w:hint="default" w:ascii="Times New Roman" w:hAnsi="Times New Roman" w:eastAsia="黑体" w:cs="Times New Roman"/>
          <w:b w:val="0"/>
          <w:bCs w:val="0"/>
          <w:sz w:val="32"/>
          <w:szCs w:val="32"/>
        </w:rPr>
        <w:t>、因政府信息公开工作被申请行政复议、提起行政诉讼的情况</w:t>
      </w:r>
    </w:p>
    <w:p w14:paraId="74253E6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黑体" w:cs="Times New Roman"/>
          <w:sz w:val="32"/>
          <w:szCs w:val="32"/>
        </w:rPr>
      </w:pPr>
      <w:r>
        <w:rPr>
          <w:rFonts w:hint="default" w:ascii="Times New Roman" w:hAnsi="Times New Roman" w:cs="Times New Roman"/>
        </w:rPr>
        <w:drawing>
          <wp:inline distT="0" distB="0" distL="114300" distR="114300">
            <wp:extent cx="5612765" cy="1137920"/>
            <wp:effectExtent l="0" t="0" r="6985" b="5080"/>
            <wp:docPr id="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pic:cNvPicPr>
                      <a:picLocks noChangeAspect="1"/>
                    </pic:cNvPicPr>
                  </pic:nvPicPr>
                  <pic:blipFill>
                    <a:blip r:embed="rId7"/>
                    <a:stretch>
                      <a:fillRect/>
                    </a:stretch>
                  </pic:blipFill>
                  <pic:spPr>
                    <a:xfrm>
                      <a:off x="0" y="0"/>
                      <a:ext cx="5612765" cy="1137920"/>
                    </a:xfrm>
                    <a:prstGeom prst="rect">
                      <a:avLst/>
                    </a:prstGeom>
                    <a:noFill/>
                    <a:ln w="9525">
                      <a:noFill/>
                    </a:ln>
                  </pic:spPr>
                </pic:pic>
              </a:graphicData>
            </a:graphic>
          </wp:inline>
        </w:drawing>
      </w:r>
    </w:p>
    <w:p w14:paraId="4C157781">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Style w:val="5"/>
          <w:rFonts w:hint="default" w:ascii="Times New Roman" w:hAnsi="Times New Roman" w:eastAsia="仿宋_GB2312" w:cs="Times New Roman"/>
          <w:i w:val="0"/>
          <w:iCs w:val="0"/>
          <w:caps w:val="0"/>
          <w:color w:val="000000"/>
          <w:spacing w:val="0"/>
          <w:sz w:val="32"/>
          <w:szCs w:val="32"/>
        </w:rPr>
        <w:t>五、政府信息公开工作存在的主要问题及改进情况</w:t>
      </w:r>
    </w:p>
    <w:p w14:paraId="2A1B70AA">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文登区工业和信息化局政府信息公开工作虽然取得一定的成效，但与全面推进政务公开的要求还有一定差距,还需要进一步提高主动公开意识，完善政务公开制度，加强政务公开管理，提高政务公开工作水平，促进政务公开制度化、规范化、常态化。</w:t>
      </w:r>
    </w:p>
    <w:p w14:paraId="1D2BD63D">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针对上述问题，一是进一步完善政务公开制度，促进政务公开制度化、规范化、常态化；二是进一步进一步加强政务公开平台建设，发挥好门户网站政务公开平台作用；三是进一步加强政府信息公开教育培训，通过开展培训提高工作人员政务公开意识和素质，提高政务公开工作水平。</w:t>
      </w:r>
    </w:p>
    <w:p w14:paraId="68D35120">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黑体" w:cs="Times New Roman"/>
          <w:b w:val="0"/>
          <w:bCs/>
          <w:i w:val="0"/>
          <w:iCs w:val="0"/>
          <w:caps w:val="0"/>
          <w:color w:val="000000"/>
          <w:spacing w:val="0"/>
          <w:sz w:val="32"/>
          <w:szCs w:val="32"/>
        </w:rPr>
      </w:pPr>
      <w:r>
        <w:rPr>
          <w:rStyle w:val="5"/>
          <w:rFonts w:hint="default" w:ascii="Times New Roman" w:hAnsi="Times New Roman" w:eastAsia="黑体" w:cs="Times New Roman"/>
          <w:b w:val="0"/>
          <w:bCs/>
          <w:i w:val="0"/>
          <w:iCs w:val="0"/>
          <w:caps w:val="0"/>
          <w:color w:val="000000"/>
          <w:spacing w:val="0"/>
          <w:sz w:val="32"/>
          <w:szCs w:val="32"/>
        </w:rPr>
        <w:t>六、其他需要报告的事项</w:t>
      </w:r>
    </w:p>
    <w:p w14:paraId="0E295DBF">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楷体_GB2312" w:cs="Times New Roman"/>
          <w:i w:val="0"/>
          <w:iCs w:val="0"/>
          <w:caps w:val="0"/>
          <w:color w:val="000000"/>
          <w:spacing w:val="0"/>
          <w:sz w:val="32"/>
          <w:szCs w:val="32"/>
        </w:rPr>
        <w:t>（一）政府信息公开收费情况</w:t>
      </w:r>
    </w:p>
    <w:p w14:paraId="1A6C817F">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2022年，威海市文登区工业和信息化局未发生政府信息公开收费情况。</w:t>
      </w:r>
    </w:p>
    <w:p w14:paraId="5163B94B">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楷体_GB2312" w:cs="Times New Roman"/>
          <w:i w:val="0"/>
          <w:iCs w:val="0"/>
          <w:caps w:val="0"/>
          <w:color w:val="000000"/>
          <w:spacing w:val="0"/>
          <w:sz w:val="32"/>
          <w:szCs w:val="32"/>
        </w:rPr>
      </w:pPr>
      <w:r>
        <w:rPr>
          <w:rFonts w:hint="default" w:ascii="Times New Roman" w:hAnsi="Times New Roman" w:eastAsia="楷体_GB2312" w:cs="Times New Roman"/>
          <w:i w:val="0"/>
          <w:iCs w:val="0"/>
          <w:caps w:val="0"/>
          <w:color w:val="000000"/>
          <w:spacing w:val="0"/>
          <w:sz w:val="32"/>
          <w:szCs w:val="32"/>
        </w:rPr>
        <w:t>（二）本行政机关落实上级年度政务公开工作要点情况</w:t>
      </w:r>
    </w:p>
    <w:p w14:paraId="65E88DDE">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2022年度本单位严格落实《中华人民共和国政府信息公开条例》要求，按照《2022年威海市文登区政务公开重点工作及责任分工》的要求设置相应栏目，主动公开统计公报、统计数据等信息，按时发布财政预决算、行政执法情况和政策文件及解读。</w:t>
      </w:r>
    </w:p>
    <w:p w14:paraId="2FA4321A">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楷体_GB2312" w:cs="Times New Roman"/>
          <w:i w:val="0"/>
          <w:iCs w:val="0"/>
          <w:caps w:val="0"/>
          <w:color w:val="000000"/>
          <w:spacing w:val="0"/>
          <w:sz w:val="32"/>
          <w:szCs w:val="32"/>
        </w:rPr>
      </w:pPr>
      <w:r>
        <w:rPr>
          <w:rFonts w:hint="default" w:ascii="Times New Roman" w:hAnsi="Times New Roman" w:eastAsia="楷体_GB2312" w:cs="Times New Roman"/>
          <w:i w:val="0"/>
          <w:iCs w:val="0"/>
          <w:caps w:val="0"/>
          <w:color w:val="000000"/>
          <w:spacing w:val="0"/>
          <w:sz w:val="32"/>
          <w:szCs w:val="32"/>
        </w:rPr>
        <w:t>（三）人大代表建议、政协委员提案办理结果公开情况</w:t>
      </w:r>
    </w:p>
    <w:p w14:paraId="1419CB9A">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2022年度，文登区工业和信息化局共办理人大代表建议6件，政协委员提案5件，已按时办结，办结率100%，办结满意率100%。相关办理结果已通过政府网站专栏主动公开。 </w:t>
      </w:r>
    </w:p>
    <w:p w14:paraId="533030C6">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楷体_GB2312" w:cs="Times New Roman"/>
          <w:i w:val="0"/>
          <w:iCs w:val="0"/>
          <w:caps w:val="0"/>
          <w:color w:val="000000"/>
          <w:spacing w:val="0"/>
          <w:sz w:val="32"/>
          <w:szCs w:val="32"/>
        </w:rPr>
      </w:pPr>
      <w:r>
        <w:rPr>
          <w:rFonts w:hint="default" w:ascii="Times New Roman" w:hAnsi="Times New Roman" w:eastAsia="楷体_GB2312" w:cs="Times New Roman"/>
          <w:i w:val="0"/>
          <w:iCs w:val="0"/>
          <w:caps w:val="0"/>
          <w:color w:val="000000"/>
          <w:spacing w:val="0"/>
          <w:sz w:val="32"/>
          <w:szCs w:val="32"/>
        </w:rPr>
        <w:t>（四）政务公开工作创新情况</w:t>
      </w:r>
    </w:p>
    <w:p w14:paraId="5D8C0ADE">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文登区工业和信息化局以政务公开聚焦“智改数转”，紧紧围绕工业倍增奋斗目标，以智能化改造和数字化转型为工业企业高质量发展的主攻方向，加强组织领导、加大服务力度、加快项目推进，通过一揽子“政策包”、面对面“宣导队”、可视化“新媒体”等手段，全力以赴帮企业找准“智改数转”新路径、助推工业振兴乘势而起“换道超车”。</w:t>
      </w:r>
    </w:p>
    <w:p w14:paraId="0EE9BBE6">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楷体_GB2312" w:cs="Times New Roman"/>
          <w:i w:val="0"/>
          <w:iCs w:val="0"/>
          <w:caps w:val="0"/>
          <w:color w:val="000000"/>
          <w:spacing w:val="0"/>
          <w:sz w:val="32"/>
          <w:szCs w:val="32"/>
        </w:rPr>
        <w:t>（五）政府信息公开工作年度报告数据统计需要说明的事项</w:t>
      </w:r>
    </w:p>
    <w:p w14:paraId="5D3E1941">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无。</w:t>
      </w:r>
    </w:p>
    <w:p w14:paraId="24DF7070">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楷体_GB2312" w:cs="Times New Roman"/>
          <w:i w:val="0"/>
          <w:iCs w:val="0"/>
          <w:caps w:val="0"/>
          <w:color w:val="000000"/>
          <w:spacing w:val="0"/>
          <w:sz w:val="32"/>
          <w:szCs w:val="32"/>
        </w:rPr>
      </w:pPr>
      <w:r>
        <w:rPr>
          <w:rFonts w:hint="default" w:ascii="Times New Roman" w:hAnsi="Times New Roman" w:eastAsia="楷体_GB2312" w:cs="Times New Roman"/>
          <w:i w:val="0"/>
          <w:iCs w:val="0"/>
          <w:caps w:val="0"/>
          <w:color w:val="000000"/>
          <w:spacing w:val="0"/>
          <w:sz w:val="32"/>
          <w:szCs w:val="32"/>
        </w:rPr>
        <w:t>（六）本行政机关认为需要报告的其他事项</w:t>
      </w:r>
    </w:p>
    <w:p w14:paraId="2279FB7C">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威海市文登区工业和信息化局下属事业单位有工业和信息化发展中心、企业综合服务中心、中小企业服务中心、化工产业园发展中心、小微企业服务中心，各单位均能严格落实政府信息公开保密审查、先审后发制度，积极配合局办公室，通过政府网站、微信公众号、政务公开专栏等形式及时、准确发布各类政府信息。</w:t>
      </w:r>
    </w:p>
    <w:p w14:paraId="345F5FF8">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楷体_GB2312" w:cs="Times New Roman"/>
          <w:i w:val="0"/>
          <w:iCs w:val="0"/>
          <w:caps w:val="0"/>
          <w:color w:val="000000"/>
          <w:spacing w:val="0"/>
          <w:sz w:val="32"/>
          <w:szCs w:val="32"/>
        </w:rPr>
      </w:pPr>
      <w:r>
        <w:rPr>
          <w:rFonts w:hint="default" w:ascii="Times New Roman" w:hAnsi="Times New Roman" w:eastAsia="楷体_GB2312" w:cs="Times New Roman"/>
          <w:i w:val="0"/>
          <w:iCs w:val="0"/>
          <w:caps w:val="0"/>
          <w:color w:val="000000"/>
          <w:spacing w:val="0"/>
          <w:sz w:val="32"/>
          <w:szCs w:val="32"/>
        </w:rPr>
        <w:t>（七）其他有关文件专门要求通过政府信息公开工作年度报告予以报告的事项</w:t>
      </w:r>
    </w:p>
    <w:p w14:paraId="699006CB">
      <w:pPr>
        <w:pStyle w:val="2"/>
        <w:keepNext w:val="0"/>
        <w:keepLines w:val="0"/>
        <w:widowControl/>
        <w:suppressLineNumbers w:val="0"/>
        <w:spacing w:before="0" w:beforeAutospacing="0" w:after="0" w:afterAutospacing="0" w:line="368" w:lineRule="atLeast"/>
        <w:ind w:left="0" w:right="0" w:firstLine="420"/>
        <w:jc w:val="both"/>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无。</w:t>
      </w:r>
    </w:p>
    <w:p w14:paraId="4BAA8D6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sz w:val="32"/>
          <w:szCs w:val="32"/>
        </w:rPr>
      </w:pPr>
    </w:p>
    <w:p w14:paraId="2400C7B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sz w:val="32"/>
          <w:szCs w:val="32"/>
        </w:rPr>
      </w:pPr>
    </w:p>
    <w:p w14:paraId="632DCBC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威海市文登区工业和信息化局</w:t>
      </w:r>
    </w:p>
    <w:p w14:paraId="1DF96C2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2023年</w:t>
      </w:r>
      <w:bookmarkStart w:id="0" w:name="_GoBack"/>
      <w:bookmarkEnd w:id="0"/>
      <w:r>
        <w:rPr>
          <w:rFonts w:hint="default" w:ascii="Times New Roman" w:hAnsi="Times New Roman" w:eastAsia="仿宋_GB2312" w:cs="Times New Roman"/>
          <w:sz w:val="32"/>
          <w:szCs w:val="32"/>
          <w:lang w:val="en-US" w:eastAsia="zh-CN"/>
        </w:rPr>
        <w:t>1月16日</w:t>
      </w:r>
    </w:p>
    <w:sectPr>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MwYTQ0YWI1NjBiYTJiNTg1NTM5NTAzODljYTYyYmUifQ=="/>
  </w:docVars>
  <w:rsids>
    <w:rsidRoot w:val="745949F3"/>
    <w:rsid w:val="023B0783"/>
    <w:rsid w:val="02B15EAE"/>
    <w:rsid w:val="062B5853"/>
    <w:rsid w:val="07C25772"/>
    <w:rsid w:val="0D8B0675"/>
    <w:rsid w:val="0DFB388A"/>
    <w:rsid w:val="127D65D4"/>
    <w:rsid w:val="19DF4259"/>
    <w:rsid w:val="2747782D"/>
    <w:rsid w:val="288C4BC9"/>
    <w:rsid w:val="29275A3A"/>
    <w:rsid w:val="295171F8"/>
    <w:rsid w:val="2F0C61DF"/>
    <w:rsid w:val="2F182CBD"/>
    <w:rsid w:val="2FCD134C"/>
    <w:rsid w:val="33062AEC"/>
    <w:rsid w:val="33FE2F09"/>
    <w:rsid w:val="3EA3311C"/>
    <w:rsid w:val="43E6679F"/>
    <w:rsid w:val="446839FD"/>
    <w:rsid w:val="45392490"/>
    <w:rsid w:val="469274C2"/>
    <w:rsid w:val="489F45FB"/>
    <w:rsid w:val="4F3F6C34"/>
    <w:rsid w:val="4F72680F"/>
    <w:rsid w:val="4FC22A0B"/>
    <w:rsid w:val="53BA2B0B"/>
    <w:rsid w:val="56A06412"/>
    <w:rsid w:val="5F9A40EF"/>
    <w:rsid w:val="62160588"/>
    <w:rsid w:val="62504205"/>
    <w:rsid w:val="65347E23"/>
    <w:rsid w:val="66964B12"/>
    <w:rsid w:val="6E712785"/>
    <w:rsid w:val="70BC53F7"/>
    <w:rsid w:val="72A94EBA"/>
    <w:rsid w:val="745949F3"/>
    <w:rsid w:val="77BF28A6"/>
    <w:rsid w:val="7A326554"/>
    <w:rsid w:val="7D1650E7"/>
    <w:rsid w:val="FDF6CAF4"/>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character" w:styleId="6">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4.emf"/><Relationship Id="rId6" Type="http://schemas.openxmlformats.org/officeDocument/2006/relationships/image" Target="media/image3.emf"/><Relationship Id="rId5" Type="http://schemas.openxmlformats.org/officeDocument/2006/relationships/image" Target="media/image2.emf"/><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2234</Words>
  <Characters>2327</Characters>
  <Lines>0</Lines>
  <Paragraphs>0</Paragraphs>
  <TotalTime>8</TotalTime>
  <ScaleCrop>false</ScaleCrop>
  <LinksUpToDate>false</LinksUpToDate>
  <CharactersWithSpaces>2382</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2023-01-09T10:31:00Z</dcterms:created>
  <dc:creator>小怪兽</dc:creator>
  <cp:lastModifiedBy>Administrator</cp:lastModifiedBy>
  <cp:lastPrinted>2023-01-16T03:05:00Z</cp:lastPrinted>
  <dcterms:modified xsi:type="dcterms:W3CDTF">2024-10-21T06:17:21Z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52B372EC3A0D4ED08520AF53CBABDEF7_13</vt:lpwstr>
  </property>
</Properties>
</file>