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32" w:firstLineChars="200"/>
        <w:jc w:val="right"/>
        <w:rPr>
          <w:rFonts w:ascii="仿宋_GB2312" w:eastAsia="仿宋_GB2312"/>
        </w:rPr>
      </w:pPr>
    </w:p>
    <w:p>
      <w:pPr>
        <w:jc w:val="center"/>
        <w:rPr>
          <w:rFonts w:ascii="仿宋_GB2312" w:eastAsia="仿宋_GB2312"/>
        </w:rPr>
      </w:pPr>
    </w:p>
    <w:p>
      <w:pPr>
        <w:jc w:val="center"/>
        <w:rPr>
          <w:rFonts w:ascii="仿宋_GB2312" w:eastAsia="仿宋_GB2312"/>
        </w:rPr>
      </w:pPr>
    </w:p>
    <w:p>
      <w:pPr>
        <w:jc w:val="center"/>
        <w:rPr>
          <w:rFonts w:ascii="方正小标宋简体" w:eastAsia="方正小标宋简体"/>
          <w:spacing w:val="60"/>
          <w:sz w:val="74"/>
        </w:rPr>
      </w:pPr>
      <w:r>
        <w:rPr>
          <w:rFonts w:hint="eastAsia" w:ascii="方正小标宋简体" w:eastAsia="方正小标宋简体"/>
          <w:spacing w:val="60"/>
          <w:sz w:val="74"/>
        </w:rPr>
        <w:t>2019年度</w:t>
      </w:r>
    </w:p>
    <w:p>
      <w:pPr>
        <w:jc w:val="center"/>
        <w:rPr>
          <w:rFonts w:ascii="方正小标宋简体" w:eastAsia="方正小标宋简体"/>
          <w:spacing w:val="60"/>
          <w:sz w:val="74"/>
        </w:rPr>
      </w:pPr>
      <w:r>
        <w:rPr>
          <w:rFonts w:hint="eastAsia" w:ascii="方正小标宋简体" w:eastAsia="方正小标宋简体"/>
          <w:spacing w:val="60"/>
          <w:sz w:val="74"/>
          <w:lang w:eastAsia="zh-CN"/>
        </w:rPr>
        <w:t>威海市文登区张家产镇人民政府</w:t>
      </w:r>
      <w:r>
        <w:rPr>
          <w:rFonts w:hint="eastAsia" w:ascii="方正小标宋简体" w:eastAsia="方正小标宋简体"/>
          <w:spacing w:val="60"/>
          <w:sz w:val="74"/>
        </w:rPr>
        <w:t>部门决算</w:t>
      </w:r>
    </w:p>
    <w:p>
      <w:pPr>
        <w:jc w:val="center"/>
        <w:rPr>
          <w:rFonts w:ascii="楷体_GB2312" w:eastAsia="楷体_GB2312"/>
          <w:b/>
          <w:sz w:val="42"/>
        </w:rPr>
      </w:pPr>
    </w:p>
    <w:p>
      <w:pPr>
        <w:jc w:val="center"/>
        <w:rPr>
          <w:rFonts w:ascii="楷体_GB2312" w:eastAsia="楷体_GB2312"/>
          <w:b/>
          <w:sz w:val="42"/>
        </w:rPr>
      </w:pPr>
    </w:p>
    <w:p>
      <w:pPr>
        <w:rPr>
          <w:rFonts w:ascii="仿宋_GB2312" w:eastAsia="仿宋_GB2312"/>
        </w:rPr>
      </w:pPr>
    </w:p>
    <w:p>
      <w:pPr>
        <w:spacing w:afterLines="50" w:line="580" w:lineRule="exact"/>
        <w:jc w:val="center"/>
        <w:rPr>
          <w:rFonts w:ascii="方正小标宋简体" w:eastAsia="方正小标宋简体"/>
          <w:sz w:val="44"/>
          <w:szCs w:val="44"/>
        </w:rPr>
      </w:pPr>
    </w:p>
    <w:p>
      <w:pPr>
        <w:spacing w:afterLines="50" w:line="580" w:lineRule="exact"/>
        <w:jc w:val="center"/>
        <w:rPr>
          <w:rFonts w:ascii="方正小标宋简体" w:eastAsia="方正小标宋简体"/>
          <w:sz w:val="44"/>
          <w:szCs w:val="44"/>
        </w:rPr>
      </w:pPr>
    </w:p>
    <w:p>
      <w:pPr>
        <w:spacing w:afterLines="50" w:line="580" w:lineRule="exact"/>
        <w:jc w:val="center"/>
        <w:rPr>
          <w:rFonts w:ascii="方正小标宋简体" w:eastAsia="方正小标宋简体"/>
          <w:sz w:val="44"/>
          <w:szCs w:val="44"/>
        </w:rPr>
      </w:pPr>
    </w:p>
    <w:p>
      <w:pPr>
        <w:spacing w:afterLines="50" w:line="580" w:lineRule="exact"/>
        <w:jc w:val="center"/>
        <w:rPr>
          <w:rFonts w:ascii="方正小标宋简体" w:eastAsia="方正小标宋简体"/>
          <w:sz w:val="44"/>
          <w:szCs w:val="44"/>
        </w:rPr>
      </w:pPr>
    </w:p>
    <w:p>
      <w:pPr>
        <w:spacing w:afterLines="50" w:line="580" w:lineRule="exact"/>
        <w:jc w:val="both"/>
        <w:rPr>
          <w:rFonts w:ascii="方正小标宋简体" w:eastAsia="方正小标宋简体"/>
          <w:sz w:val="44"/>
          <w:szCs w:val="44"/>
        </w:rPr>
      </w:pPr>
    </w:p>
    <w:p>
      <w:pPr>
        <w:spacing w:afterLines="50" w:line="580" w:lineRule="exact"/>
        <w:jc w:val="center"/>
        <w:rPr>
          <w:rFonts w:hint="eastAsia" w:ascii="方正小标宋简体" w:eastAsia="方正小标宋简体"/>
          <w:sz w:val="44"/>
          <w:szCs w:val="44"/>
        </w:rPr>
      </w:pPr>
    </w:p>
    <w:p>
      <w:pPr>
        <w:spacing w:afterLines="50" w:line="580" w:lineRule="exact"/>
        <w:jc w:val="center"/>
        <w:rPr>
          <w:rFonts w:hint="eastAsia" w:ascii="方正小标宋简体" w:eastAsia="方正小标宋简体"/>
          <w:sz w:val="44"/>
          <w:szCs w:val="44"/>
        </w:rPr>
      </w:pPr>
    </w:p>
    <w:p>
      <w:pPr>
        <w:spacing w:afterLines="50" w:line="580" w:lineRule="exact"/>
        <w:jc w:val="center"/>
        <w:rPr>
          <w:rFonts w:ascii="方正小标宋简体" w:eastAsia="方正小标宋简体"/>
          <w:sz w:val="44"/>
          <w:szCs w:val="44"/>
        </w:rPr>
      </w:pPr>
      <w:r>
        <w:rPr>
          <w:rFonts w:hint="eastAsia" w:ascii="方正小标宋简体" w:eastAsia="方正小标宋简体"/>
          <w:sz w:val="44"/>
          <w:szCs w:val="44"/>
        </w:rPr>
        <w:t>目  录</w:t>
      </w:r>
    </w:p>
    <w:p>
      <w:pPr>
        <w:spacing w:line="580" w:lineRule="exact"/>
        <w:ind w:firstLine="316" w:firstLineChars="100"/>
        <w:rPr>
          <w:rFonts w:ascii="黑体" w:hAnsi="黑体" w:eastAsia="黑体"/>
        </w:rPr>
      </w:pPr>
      <w:r>
        <w:rPr>
          <w:rFonts w:hint="eastAsia" w:ascii="黑体" w:hAnsi="黑体" w:eastAsia="黑体"/>
        </w:rPr>
        <w:t>第一部分  部门概况</w:t>
      </w:r>
    </w:p>
    <w:p>
      <w:pPr>
        <w:spacing w:line="580" w:lineRule="exact"/>
        <w:ind w:firstLine="632" w:firstLineChars="200"/>
        <w:rPr>
          <w:rFonts w:ascii="仿宋_GB2312" w:eastAsia="仿宋_GB2312"/>
        </w:rPr>
      </w:pPr>
      <w:r>
        <w:rPr>
          <w:rFonts w:hint="eastAsia" w:ascii="仿宋_GB2312" w:eastAsia="仿宋_GB2312"/>
        </w:rPr>
        <w:t>一、部门职责</w:t>
      </w:r>
    </w:p>
    <w:p>
      <w:pPr>
        <w:spacing w:line="580" w:lineRule="exact"/>
        <w:ind w:firstLine="632" w:firstLineChars="200"/>
        <w:rPr>
          <w:rFonts w:ascii="仿宋_GB2312" w:eastAsia="仿宋_GB2312"/>
        </w:rPr>
      </w:pPr>
      <w:r>
        <w:rPr>
          <w:rFonts w:hint="eastAsia" w:ascii="仿宋_GB2312" w:eastAsia="仿宋_GB2312"/>
        </w:rPr>
        <w:t>二、机构设置</w:t>
      </w:r>
    </w:p>
    <w:p>
      <w:pPr>
        <w:spacing w:line="580" w:lineRule="exact"/>
        <w:ind w:firstLine="316" w:firstLineChars="100"/>
        <w:rPr>
          <w:rFonts w:ascii="黑体" w:hAnsi="黑体" w:eastAsia="黑体"/>
        </w:rPr>
      </w:pPr>
      <w:r>
        <w:rPr>
          <w:rFonts w:hint="eastAsia" w:ascii="黑体" w:hAnsi="黑体" w:eastAsia="黑体"/>
        </w:rPr>
        <w:t>第二部分  2019年度部门决算表</w:t>
      </w:r>
    </w:p>
    <w:p>
      <w:pPr>
        <w:spacing w:line="580" w:lineRule="exact"/>
        <w:ind w:firstLine="632" w:firstLineChars="200"/>
        <w:rPr>
          <w:rFonts w:ascii="仿宋_GB2312" w:eastAsia="仿宋_GB2312"/>
        </w:rPr>
      </w:pPr>
      <w:r>
        <w:rPr>
          <w:rFonts w:hint="eastAsia" w:ascii="仿宋_GB2312" w:eastAsia="仿宋_GB2312"/>
        </w:rPr>
        <w:t>一、收入支出决算总表</w:t>
      </w:r>
    </w:p>
    <w:p>
      <w:pPr>
        <w:spacing w:line="580" w:lineRule="exact"/>
        <w:ind w:firstLine="632" w:firstLineChars="200"/>
        <w:rPr>
          <w:rFonts w:ascii="仿宋_GB2312" w:eastAsia="仿宋_GB2312"/>
        </w:rPr>
      </w:pPr>
      <w:r>
        <w:rPr>
          <w:rFonts w:hint="eastAsia" w:ascii="仿宋_GB2312" w:eastAsia="仿宋_GB2312"/>
        </w:rPr>
        <w:t>二、收入决算表</w:t>
      </w:r>
    </w:p>
    <w:p>
      <w:pPr>
        <w:spacing w:line="580" w:lineRule="exact"/>
        <w:ind w:firstLine="632" w:firstLineChars="200"/>
        <w:rPr>
          <w:rFonts w:ascii="仿宋_GB2312" w:eastAsia="仿宋_GB2312"/>
        </w:rPr>
      </w:pPr>
      <w:r>
        <w:rPr>
          <w:rFonts w:hint="eastAsia" w:ascii="仿宋_GB2312" w:eastAsia="仿宋_GB2312"/>
        </w:rPr>
        <w:t>三、支出决算表</w:t>
      </w:r>
    </w:p>
    <w:p>
      <w:pPr>
        <w:spacing w:line="580" w:lineRule="exact"/>
        <w:ind w:firstLine="632" w:firstLineChars="200"/>
        <w:rPr>
          <w:rFonts w:ascii="仿宋_GB2312" w:eastAsia="仿宋_GB2312"/>
        </w:rPr>
      </w:pPr>
      <w:r>
        <w:rPr>
          <w:rFonts w:hint="eastAsia" w:ascii="仿宋_GB2312" w:eastAsia="仿宋_GB2312"/>
        </w:rPr>
        <w:t>四、财政拨款收入支出决算总表</w:t>
      </w:r>
    </w:p>
    <w:p>
      <w:pPr>
        <w:spacing w:line="580" w:lineRule="exact"/>
        <w:ind w:firstLine="632" w:firstLineChars="200"/>
        <w:rPr>
          <w:rFonts w:ascii="仿宋_GB2312" w:eastAsia="仿宋_GB2312"/>
        </w:rPr>
      </w:pPr>
      <w:r>
        <w:rPr>
          <w:rFonts w:hint="eastAsia" w:ascii="仿宋_GB2312" w:eastAsia="仿宋_GB2312"/>
        </w:rPr>
        <w:t>五、一般公共预算财政拨款支出决算表</w:t>
      </w:r>
    </w:p>
    <w:p>
      <w:pPr>
        <w:spacing w:line="580" w:lineRule="exact"/>
        <w:ind w:firstLine="632" w:firstLineChars="200"/>
        <w:rPr>
          <w:rFonts w:ascii="仿宋_GB2312" w:eastAsia="仿宋_GB2312"/>
        </w:rPr>
      </w:pPr>
      <w:r>
        <w:rPr>
          <w:rFonts w:hint="eastAsia" w:ascii="仿宋_GB2312" w:eastAsia="仿宋_GB2312"/>
        </w:rPr>
        <w:t>六、一般公共预算财政拨款基本支出决算表</w:t>
      </w:r>
    </w:p>
    <w:p>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七、一般公共预算财政拨款“三公”经费支出决算表</w:t>
      </w:r>
    </w:p>
    <w:p>
      <w:pPr>
        <w:spacing w:line="580" w:lineRule="exact"/>
        <w:ind w:firstLine="632" w:firstLineChars="200"/>
        <w:rPr>
          <w:rFonts w:ascii="仿宋_GB2312" w:eastAsia="仿宋_GB2312"/>
        </w:rPr>
      </w:pPr>
      <w:r>
        <w:rPr>
          <w:rFonts w:hint="eastAsia" w:ascii="仿宋_GB2312" w:eastAsia="仿宋_GB2312"/>
        </w:rPr>
        <w:t>八、政府性基金预算财政拨款收入支出决算表</w:t>
      </w:r>
    </w:p>
    <w:p>
      <w:pPr>
        <w:spacing w:line="580" w:lineRule="exact"/>
        <w:ind w:firstLine="316" w:firstLineChars="100"/>
        <w:rPr>
          <w:rFonts w:ascii="黑体" w:hAnsi="黑体" w:eastAsia="黑体"/>
        </w:rPr>
      </w:pPr>
      <w:r>
        <w:rPr>
          <w:rFonts w:hint="eastAsia" w:ascii="黑体" w:hAnsi="黑体" w:eastAsia="黑体"/>
        </w:rPr>
        <w:t>第三部分  2019年度部门决算情况说明</w:t>
      </w:r>
    </w:p>
    <w:p>
      <w:pPr>
        <w:spacing w:line="580" w:lineRule="exact"/>
        <w:ind w:firstLine="632" w:firstLineChars="200"/>
        <w:rPr>
          <w:rFonts w:ascii="仿宋_GB2312" w:eastAsia="仿宋_GB2312"/>
        </w:rPr>
      </w:pPr>
      <w:r>
        <w:rPr>
          <w:rFonts w:hint="eastAsia" w:ascii="仿宋_GB2312" w:eastAsia="仿宋_GB2312"/>
        </w:rPr>
        <w:t>一、收入支出决算总体情况说明</w:t>
      </w:r>
    </w:p>
    <w:p>
      <w:pPr>
        <w:spacing w:line="580" w:lineRule="exact"/>
        <w:ind w:firstLine="632" w:firstLineChars="200"/>
        <w:rPr>
          <w:rFonts w:ascii="仿宋_GB2312" w:eastAsia="仿宋_GB2312"/>
        </w:rPr>
      </w:pPr>
      <w:r>
        <w:rPr>
          <w:rFonts w:hint="eastAsia" w:ascii="仿宋_GB2312" w:eastAsia="仿宋_GB2312"/>
        </w:rPr>
        <w:t>二、收入决算情况说明</w:t>
      </w:r>
    </w:p>
    <w:p>
      <w:pPr>
        <w:spacing w:line="580" w:lineRule="exact"/>
        <w:ind w:firstLine="632" w:firstLineChars="200"/>
        <w:rPr>
          <w:rFonts w:ascii="仿宋_GB2312" w:eastAsia="仿宋_GB2312"/>
        </w:rPr>
      </w:pPr>
      <w:r>
        <w:rPr>
          <w:rFonts w:hint="eastAsia" w:ascii="仿宋_GB2312" w:eastAsia="仿宋_GB2312"/>
        </w:rPr>
        <w:t>三、支出决算情况说明</w:t>
      </w:r>
    </w:p>
    <w:p>
      <w:pPr>
        <w:spacing w:line="580" w:lineRule="exact"/>
        <w:ind w:firstLine="632" w:firstLineChars="200"/>
        <w:rPr>
          <w:rFonts w:ascii="仿宋_GB2312" w:eastAsia="仿宋_GB2312"/>
        </w:rPr>
      </w:pPr>
      <w:r>
        <w:rPr>
          <w:rFonts w:hint="eastAsia" w:ascii="仿宋_GB2312" w:eastAsia="仿宋_GB2312"/>
        </w:rPr>
        <w:t>四、财政拨款收入支出决算总体情况说明</w:t>
      </w:r>
    </w:p>
    <w:p>
      <w:pPr>
        <w:spacing w:line="580" w:lineRule="exact"/>
        <w:ind w:firstLine="632" w:firstLineChars="200"/>
        <w:rPr>
          <w:rFonts w:ascii="仿宋_GB2312" w:eastAsia="仿宋_GB2312"/>
        </w:rPr>
      </w:pPr>
      <w:r>
        <w:rPr>
          <w:rFonts w:hint="eastAsia" w:ascii="仿宋_GB2312" w:eastAsia="仿宋_GB2312"/>
        </w:rPr>
        <w:t>五、一般公共预算财政拨款支出决算情况说明</w:t>
      </w:r>
    </w:p>
    <w:p>
      <w:pPr>
        <w:spacing w:line="580" w:lineRule="exact"/>
        <w:ind w:firstLine="632" w:firstLineChars="200"/>
        <w:rPr>
          <w:rFonts w:ascii="仿宋_GB2312" w:eastAsia="仿宋_GB2312"/>
        </w:rPr>
      </w:pPr>
      <w:r>
        <w:rPr>
          <w:rFonts w:hint="eastAsia" w:ascii="仿宋_GB2312" w:eastAsia="仿宋_GB2312"/>
        </w:rPr>
        <w:t>六、一般公共预算财政拨款基本支出决算情况说明</w:t>
      </w:r>
    </w:p>
    <w:p>
      <w:pPr>
        <w:spacing w:line="580" w:lineRule="exact"/>
        <w:ind w:firstLine="632" w:firstLineChars="200"/>
        <w:rPr>
          <w:rFonts w:ascii="仿宋_GB2312" w:eastAsia="仿宋_GB2312"/>
        </w:rPr>
      </w:pPr>
      <w:r>
        <w:rPr>
          <w:rFonts w:hint="eastAsia" w:ascii="仿宋_GB2312" w:eastAsia="仿宋_GB2312"/>
        </w:rPr>
        <w:t>七、一般公共预算财政拨款“三公”经费支出决算情况说明</w:t>
      </w:r>
    </w:p>
    <w:p>
      <w:pPr>
        <w:spacing w:line="580" w:lineRule="exact"/>
        <w:ind w:firstLine="632" w:firstLineChars="200"/>
        <w:rPr>
          <w:rFonts w:ascii="仿宋_GB2312" w:eastAsia="仿宋_GB2312"/>
        </w:rPr>
      </w:pPr>
      <w:r>
        <w:rPr>
          <w:rFonts w:hint="eastAsia" w:ascii="仿宋_GB2312" w:eastAsia="仿宋_GB2312"/>
        </w:rPr>
        <w:t>八、政府性基金预算财政拨款收入支出决算情况说明</w:t>
      </w:r>
    </w:p>
    <w:p>
      <w:pPr>
        <w:spacing w:line="580" w:lineRule="exact"/>
        <w:ind w:firstLine="632" w:firstLineChars="200"/>
        <w:rPr>
          <w:rFonts w:ascii="仿宋_GB2312" w:eastAsia="仿宋_GB2312"/>
        </w:rPr>
      </w:pPr>
      <w:r>
        <w:rPr>
          <w:rFonts w:hint="eastAsia" w:ascii="仿宋_GB2312" w:eastAsia="仿宋_GB2312"/>
        </w:rPr>
        <w:t>九、重要事项情况说明</w:t>
      </w:r>
    </w:p>
    <w:p>
      <w:pPr>
        <w:spacing w:line="580" w:lineRule="exact"/>
        <w:ind w:firstLine="316" w:firstLineChars="100"/>
        <w:rPr>
          <w:rFonts w:ascii="黑体" w:hAnsi="黑体" w:eastAsia="黑体"/>
        </w:rPr>
      </w:pPr>
      <w:r>
        <w:rPr>
          <w:rFonts w:hint="eastAsia" w:ascii="黑体" w:hAnsi="黑体" w:eastAsia="黑体"/>
        </w:rPr>
        <w:t>第四部分  名词解释</w:t>
      </w:r>
    </w:p>
    <w:p>
      <w:pPr>
        <w:spacing w:line="580" w:lineRule="exact"/>
        <w:ind w:firstLine="316" w:firstLineChars="100"/>
        <w:rPr>
          <w:rFonts w:ascii="黑体" w:hAnsi="黑体" w:eastAsia="黑体"/>
        </w:rPr>
      </w:pPr>
      <w:r>
        <w:rPr>
          <w:rFonts w:hint="eastAsia" w:ascii="黑体" w:hAnsi="黑体" w:eastAsia="黑体"/>
        </w:rPr>
        <w:t xml:space="preserve">第五部分  附件  </w:t>
      </w:r>
    </w:p>
    <w:p>
      <w:pPr>
        <w:spacing w:line="580" w:lineRule="exact"/>
        <w:ind w:firstLine="316" w:firstLineChars="100"/>
        <w:rPr>
          <w:rFonts w:ascii="黑体" w:hAnsi="黑体" w:eastAsia="黑体"/>
        </w:rPr>
      </w:pPr>
    </w:p>
    <w:p>
      <w:pPr>
        <w:spacing w:line="580" w:lineRule="exact"/>
        <w:ind w:firstLine="316" w:firstLineChars="100"/>
        <w:rPr>
          <w:rFonts w:ascii="黑体" w:hAnsi="黑体" w:eastAsia="黑体"/>
        </w:rPr>
      </w:pPr>
    </w:p>
    <w:p>
      <w:pPr>
        <w:spacing w:line="580" w:lineRule="exact"/>
        <w:ind w:firstLine="316" w:firstLineChars="100"/>
        <w:rPr>
          <w:rFonts w:ascii="黑体" w:hAnsi="黑体" w:eastAsia="黑体"/>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ind w:firstLine="536" w:firstLineChars="100"/>
        <w:rPr>
          <w:rFonts w:ascii="方正小标宋简体" w:eastAsia="方正小标宋简体"/>
          <w:spacing w:val="60"/>
          <w:sz w:val="42"/>
        </w:rPr>
      </w:pPr>
      <w:r>
        <w:rPr>
          <w:rFonts w:hint="eastAsia" w:ascii="方正小标宋简体" w:eastAsia="方正小标宋简体"/>
          <w:spacing w:val="60"/>
          <w:sz w:val="42"/>
        </w:rPr>
        <w:t>第一部分</w:t>
      </w:r>
    </w:p>
    <w:p>
      <w:pPr>
        <w:jc w:val="center"/>
        <w:rPr>
          <w:rFonts w:ascii="方正小标宋简体" w:eastAsia="方正小标宋简体"/>
          <w:spacing w:val="60"/>
          <w:sz w:val="42"/>
        </w:rPr>
      </w:pPr>
    </w:p>
    <w:p>
      <w:pPr>
        <w:jc w:val="center"/>
        <w:rPr>
          <w:rFonts w:ascii="方正小标宋简体" w:eastAsia="方正小标宋简体"/>
          <w:spacing w:val="60"/>
          <w:sz w:val="48"/>
        </w:rPr>
      </w:pPr>
      <w:r>
        <w:rPr>
          <w:rFonts w:hint="eastAsia" w:ascii="方正小标宋简体" w:eastAsia="方正小标宋简体"/>
          <w:spacing w:val="60"/>
          <w:sz w:val="48"/>
        </w:rPr>
        <w:t>部门概况</w:t>
      </w:r>
    </w:p>
    <w:p>
      <w:pPr>
        <w:jc w:val="center"/>
        <w:rPr>
          <w:rFonts w:ascii="仿宋_GB2312" w:eastAsia="仿宋_GB2312"/>
        </w:rPr>
        <w:sectPr>
          <w:headerReference r:id="rId3" w:type="default"/>
          <w:footerReference r:id="rId4" w:type="default"/>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p>
    <w:p>
      <w:pPr>
        <w:ind w:firstLine="632" w:firstLineChars="200"/>
        <w:rPr>
          <w:rFonts w:ascii="黑体" w:hAnsi="黑体" w:eastAsia="黑体"/>
        </w:rPr>
      </w:pPr>
      <w:r>
        <w:rPr>
          <w:rFonts w:hint="eastAsia" w:ascii="黑体" w:hAnsi="黑体" w:eastAsia="黑体"/>
        </w:rPr>
        <w:t>一、部门职责</w:t>
      </w:r>
    </w:p>
    <w:p>
      <w:pPr>
        <w:ind w:firstLine="632" w:firstLineChars="200"/>
        <w:rPr>
          <w:rFonts w:hint="eastAsia" w:ascii="仿宋_GB2312" w:eastAsia="仿宋_GB2312"/>
        </w:rPr>
      </w:pPr>
      <w:r>
        <w:rPr>
          <w:rFonts w:hint="eastAsia" w:ascii="仿宋_GB2312" w:eastAsia="仿宋_GB2312"/>
          <w:lang w:eastAsia="zh-CN"/>
        </w:rPr>
        <w:t>威海市文登区张家产镇人民政府</w:t>
      </w:r>
      <w:r>
        <w:rPr>
          <w:rFonts w:hint="eastAsia" w:ascii="仿宋_GB2312" w:eastAsia="仿宋_GB2312"/>
        </w:rPr>
        <w:t>主要职能</w:t>
      </w:r>
      <w:r>
        <w:rPr>
          <w:rFonts w:hint="eastAsia" w:ascii="仿宋_GB2312" w:eastAsia="仿宋_GB2312"/>
          <w:lang w:eastAsia="zh-CN"/>
        </w:rPr>
        <w:t>有</w:t>
      </w:r>
      <w:r>
        <w:rPr>
          <w:rFonts w:hint="eastAsia" w:ascii="仿宋_GB2312" w:eastAsia="仿宋_GB2312"/>
        </w:rPr>
        <w:t>协调好本</w:t>
      </w:r>
      <w:r>
        <w:rPr>
          <w:rFonts w:hint="eastAsia" w:ascii="仿宋_GB2312" w:eastAsia="仿宋_GB2312"/>
          <w:lang w:eastAsia="zh-CN"/>
        </w:rPr>
        <w:t>地</w:t>
      </w:r>
      <w:r>
        <w:rPr>
          <w:rFonts w:hint="eastAsia" w:ascii="仿宋_GB2312" w:eastAsia="仿宋_GB2312"/>
        </w:rPr>
        <w:t>与外地区的经济交流与合作，抓好招商引资，人才引进项目开发，不断培育市场体系，组织经济运行，促进经济发展；制定并组织实施村镇建设规划，部署重点工程建设，地方道路建设及公共设施，水利设施的管理，负责土地、林木、水等自然资源和生态环境的保护，做好护林防火工作；负责本行政区域内的民政、计划生育、文化教育、卫生、体育等社会公益事业的综合性工作，维护一切经济单位和个人的正当经济权益，取缔非法经济活动，调解和处理民事纠纷，打击刑事犯罪维护社会稳定；按计划组织本级财政收入和地方税的征收，完成国家财政计划，不断培植税源，管好财政资金，增强财政实力；抓好精神文明建设，丰富群众文化生活，提倡移风易俗，反对封建迷信，破除陈规陋习，树立社会主义新风尚；完成上级政府交办的其它事项。</w:t>
      </w:r>
    </w:p>
    <w:p>
      <w:pPr>
        <w:ind w:firstLine="632" w:firstLineChars="200"/>
        <w:rPr>
          <w:rFonts w:ascii="仿宋_GB2312" w:eastAsia="仿宋_GB2312"/>
        </w:rPr>
      </w:pPr>
    </w:p>
    <w:p>
      <w:pPr>
        <w:ind w:firstLine="632" w:firstLineChars="200"/>
        <w:rPr>
          <w:rFonts w:ascii="仿宋_GB2312" w:eastAsia="仿宋_GB2312"/>
        </w:rPr>
      </w:pPr>
    </w:p>
    <w:p>
      <w:pPr>
        <w:ind w:firstLine="632" w:firstLineChars="200"/>
        <w:rPr>
          <w:rFonts w:ascii="仿宋_GB2312" w:eastAsia="仿宋_GB2312"/>
        </w:rPr>
      </w:pPr>
    </w:p>
    <w:p>
      <w:pPr>
        <w:ind w:firstLine="632" w:firstLineChars="200"/>
        <w:rPr>
          <w:rFonts w:ascii="仿宋_GB2312" w:eastAsia="仿宋_GB2312"/>
        </w:rPr>
      </w:pPr>
    </w:p>
    <w:p>
      <w:pPr>
        <w:ind w:firstLine="632" w:firstLineChars="200"/>
        <w:rPr>
          <w:rFonts w:ascii="仿宋_GB2312" w:eastAsia="仿宋_GB2312"/>
        </w:rPr>
      </w:pPr>
    </w:p>
    <w:p>
      <w:pPr>
        <w:ind w:firstLine="632" w:firstLineChars="200"/>
        <w:rPr>
          <w:rFonts w:ascii="仿宋_GB2312" w:eastAsia="仿宋_GB2312"/>
        </w:rPr>
      </w:pPr>
    </w:p>
    <w:p>
      <w:pPr>
        <w:ind w:firstLine="632" w:firstLineChars="200"/>
        <w:rPr>
          <w:rFonts w:ascii="仿宋_GB2312" w:eastAsia="仿宋_GB2312"/>
        </w:rPr>
      </w:pPr>
    </w:p>
    <w:p>
      <w:pPr>
        <w:ind w:firstLine="632" w:firstLineChars="200"/>
        <w:rPr>
          <w:rFonts w:ascii="仿宋_GB2312" w:eastAsia="仿宋_GB2312"/>
        </w:rPr>
      </w:pPr>
    </w:p>
    <w:p>
      <w:pPr>
        <w:ind w:firstLine="632" w:firstLineChars="200"/>
        <w:rPr>
          <w:rFonts w:ascii="黑体" w:hAnsi="黑体" w:eastAsia="黑体"/>
        </w:rPr>
      </w:pPr>
      <w:r>
        <w:rPr>
          <w:rFonts w:hint="eastAsia" w:ascii="黑体" w:hAnsi="黑体" w:eastAsia="黑体"/>
        </w:rPr>
        <w:t>二、机构设置</w:t>
      </w:r>
    </w:p>
    <w:p>
      <w:pPr>
        <w:ind w:firstLine="632" w:firstLineChars="200"/>
        <w:rPr>
          <w:rFonts w:hint="eastAsia" w:ascii="仿宋_GB2312" w:eastAsia="仿宋_GB2312"/>
        </w:rPr>
      </w:pPr>
      <w:r>
        <w:rPr>
          <w:rFonts w:hint="eastAsia" w:ascii="仿宋_GB2312" w:eastAsia="仿宋_GB2312"/>
        </w:rPr>
        <w:t>从决算单位构成看，</w:t>
      </w:r>
      <w:r>
        <w:rPr>
          <w:rFonts w:hint="eastAsia" w:ascii="仿宋_GB2312" w:eastAsia="仿宋_GB2312"/>
          <w:lang w:eastAsia="zh-CN"/>
        </w:rPr>
        <w:t>威海市文登区张家产镇人民政府</w:t>
      </w:r>
      <w:r>
        <w:rPr>
          <w:rFonts w:hint="eastAsia" w:ascii="仿宋_GB2312" w:eastAsia="仿宋_GB2312"/>
        </w:rPr>
        <w:t>部门决算包括：</w:t>
      </w:r>
      <w:r>
        <w:rPr>
          <w:rFonts w:hint="eastAsia" w:ascii="仿宋_GB2312" w:eastAsia="仿宋_GB2312"/>
          <w:lang w:eastAsia="zh-CN"/>
        </w:rPr>
        <w:t>张家产镇人民政府</w:t>
      </w:r>
      <w:r>
        <w:rPr>
          <w:rFonts w:hint="eastAsia" w:ascii="仿宋_GB2312" w:eastAsia="仿宋_GB2312"/>
        </w:rPr>
        <w:t>本级决算。</w:t>
      </w:r>
    </w:p>
    <w:p>
      <w:pPr>
        <w:ind w:firstLine="632" w:firstLineChars="200"/>
        <w:rPr>
          <w:rFonts w:hint="eastAsia" w:ascii="仿宋_GB2312" w:eastAsia="仿宋_GB2312"/>
        </w:rPr>
      </w:pPr>
      <w:r>
        <w:rPr>
          <w:rFonts w:hint="eastAsia" w:ascii="仿宋_GB2312" w:eastAsia="仿宋_GB2312"/>
        </w:rPr>
        <w:t>纳入</w:t>
      </w:r>
      <w:r>
        <w:rPr>
          <w:rFonts w:hint="eastAsia" w:ascii="仿宋_GB2312" w:eastAsia="仿宋_GB2312"/>
          <w:lang w:eastAsia="zh-CN"/>
        </w:rPr>
        <w:t>威海市文登区张家产镇人民政府</w:t>
      </w:r>
      <w:r>
        <w:rPr>
          <w:rFonts w:hint="eastAsia" w:ascii="仿宋_GB2312" w:eastAsia="仿宋_GB2312"/>
        </w:rPr>
        <w:t>2019年度部门决算编制范围的预算单位</w:t>
      </w:r>
      <w:r>
        <w:rPr>
          <w:rFonts w:hint="eastAsia" w:ascii="仿宋_GB2312" w:eastAsia="仿宋_GB2312"/>
          <w:lang w:val="en-US" w:eastAsia="zh-CN"/>
        </w:rPr>
        <w:t>13</w:t>
      </w:r>
      <w:r>
        <w:rPr>
          <w:rFonts w:hint="eastAsia" w:ascii="仿宋_GB2312" w:eastAsia="仿宋_GB2312"/>
        </w:rPr>
        <w:t>个，包括：</w:t>
      </w:r>
    </w:p>
    <w:p>
      <w:pPr>
        <w:ind w:firstLine="632" w:firstLineChars="200"/>
        <w:rPr>
          <w:rFonts w:hint="eastAsia" w:ascii="仿宋_GB2312" w:eastAsia="仿宋_GB2312"/>
        </w:rPr>
      </w:pPr>
      <w:r>
        <w:rPr>
          <w:rFonts w:hint="eastAsia" w:ascii="仿宋_GB2312" w:eastAsia="仿宋_GB2312"/>
        </w:rPr>
        <w:t>1、</w:t>
      </w:r>
      <w:r>
        <w:rPr>
          <w:rFonts w:hint="eastAsia" w:ascii="楷体_GB2312" w:eastAsia="楷体_GB2312"/>
          <w:sz w:val="28"/>
          <w:szCs w:val="28"/>
        </w:rPr>
        <w:t>威海市文登区</w:t>
      </w:r>
      <w:r>
        <w:rPr>
          <w:rFonts w:hint="eastAsia" w:ascii="楷体_GB2312" w:eastAsia="楷体_GB2312"/>
          <w:sz w:val="28"/>
          <w:szCs w:val="28"/>
          <w:lang w:eastAsia="zh-CN"/>
        </w:rPr>
        <w:t>张家产</w:t>
      </w:r>
      <w:r>
        <w:rPr>
          <w:rFonts w:hint="eastAsia" w:ascii="楷体_GB2312" w:eastAsia="楷体_GB2312"/>
          <w:sz w:val="28"/>
          <w:szCs w:val="28"/>
        </w:rPr>
        <w:t>镇人民政府（本级）</w:t>
      </w:r>
    </w:p>
    <w:p>
      <w:pPr>
        <w:ind w:firstLine="632" w:firstLineChars="200"/>
        <w:rPr>
          <w:rFonts w:hint="eastAsia" w:ascii="楷体_GB2312" w:eastAsia="楷体_GB2312"/>
          <w:sz w:val="28"/>
          <w:szCs w:val="28"/>
          <w:lang w:val="en-US" w:eastAsia="zh-CN"/>
        </w:rPr>
      </w:pPr>
      <w:r>
        <w:rPr>
          <w:rFonts w:hint="eastAsia" w:ascii="仿宋_GB2312" w:eastAsia="仿宋_GB2312"/>
        </w:rPr>
        <w:t>2、</w:t>
      </w:r>
      <w:r>
        <w:rPr>
          <w:rFonts w:hint="eastAsia" w:ascii="楷体_GB2312" w:eastAsia="楷体_GB2312"/>
          <w:sz w:val="28"/>
          <w:szCs w:val="28"/>
        </w:rPr>
        <w:t>威海市文登区</w:t>
      </w:r>
      <w:r>
        <w:rPr>
          <w:rFonts w:hint="eastAsia" w:ascii="楷体_GB2312" w:eastAsia="楷体_GB2312"/>
          <w:sz w:val="28"/>
          <w:szCs w:val="28"/>
          <w:lang w:eastAsia="zh-CN"/>
        </w:rPr>
        <w:t>张家产</w:t>
      </w:r>
      <w:r>
        <w:rPr>
          <w:rFonts w:hint="eastAsia" w:ascii="楷体_GB2312" w:eastAsia="楷体_GB2312"/>
          <w:sz w:val="28"/>
          <w:szCs w:val="28"/>
        </w:rPr>
        <w:t>镇机关服务中心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3</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张家产</w:t>
      </w:r>
      <w:r>
        <w:rPr>
          <w:rFonts w:hint="eastAsia" w:ascii="楷体_GB2312" w:eastAsia="楷体_GB2312"/>
          <w:sz w:val="28"/>
          <w:szCs w:val="28"/>
        </w:rPr>
        <w:t>镇</w:t>
      </w:r>
      <w:r>
        <w:rPr>
          <w:rFonts w:hint="eastAsia" w:ascii="楷体_GB2312" w:eastAsia="楷体_GB2312"/>
          <w:sz w:val="28"/>
          <w:szCs w:val="28"/>
          <w:lang w:eastAsia="zh-CN"/>
        </w:rPr>
        <w:t>财政经管</w:t>
      </w:r>
      <w:r>
        <w:rPr>
          <w:rFonts w:hint="eastAsia" w:ascii="楷体_GB2312" w:eastAsia="楷体_GB2312"/>
          <w:sz w:val="28"/>
          <w:szCs w:val="28"/>
        </w:rPr>
        <w:t>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4</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张家产</w:t>
      </w:r>
      <w:r>
        <w:rPr>
          <w:rFonts w:hint="eastAsia" w:ascii="楷体_GB2312" w:eastAsia="楷体_GB2312"/>
          <w:sz w:val="28"/>
          <w:szCs w:val="28"/>
        </w:rPr>
        <w:t>镇</w:t>
      </w:r>
      <w:r>
        <w:rPr>
          <w:rFonts w:hint="eastAsia" w:ascii="楷体_GB2312" w:eastAsia="楷体_GB2312"/>
          <w:sz w:val="28"/>
          <w:szCs w:val="28"/>
          <w:lang w:eastAsia="zh-CN"/>
        </w:rPr>
        <w:t>计划生育</w:t>
      </w:r>
      <w:r>
        <w:rPr>
          <w:rFonts w:hint="eastAsia" w:ascii="楷体_GB2312" w:eastAsia="楷体_GB2312"/>
          <w:sz w:val="28"/>
          <w:szCs w:val="28"/>
        </w:rPr>
        <w:t>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5</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张家产</w:t>
      </w:r>
      <w:r>
        <w:rPr>
          <w:rFonts w:hint="eastAsia" w:ascii="楷体_GB2312" w:eastAsia="楷体_GB2312"/>
          <w:sz w:val="28"/>
          <w:szCs w:val="28"/>
        </w:rPr>
        <w:t>镇</w:t>
      </w:r>
      <w:r>
        <w:rPr>
          <w:rFonts w:hint="eastAsia" w:ascii="楷体_GB2312" w:eastAsia="楷体_GB2312"/>
          <w:sz w:val="28"/>
          <w:szCs w:val="28"/>
          <w:lang w:eastAsia="zh-CN"/>
        </w:rPr>
        <w:t>农业综合</w:t>
      </w:r>
      <w:r>
        <w:rPr>
          <w:rFonts w:hint="eastAsia" w:ascii="楷体_GB2312" w:eastAsia="楷体_GB2312"/>
          <w:sz w:val="28"/>
          <w:szCs w:val="28"/>
        </w:rPr>
        <w:t>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6</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张家产</w:t>
      </w:r>
      <w:r>
        <w:rPr>
          <w:rFonts w:hint="eastAsia" w:ascii="楷体_GB2312" w:eastAsia="楷体_GB2312"/>
          <w:sz w:val="28"/>
          <w:szCs w:val="28"/>
        </w:rPr>
        <w:t>镇</w:t>
      </w:r>
      <w:r>
        <w:rPr>
          <w:rFonts w:hint="eastAsia" w:ascii="楷体_GB2312" w:eastAsia="楷体_GB2312"/>
          <w:sz w:val="28"/>
          <w:szCs w:val="28"/>
          <w:lang w:eastAsia="zh-CN"/>
        </w:rPr>
        <w:t>社会保障</w:t>
      </w:r>
      <w:r>
        <w:rPr>
          <w:rFonts w:hint="eastAsia" w:ascii="楷体_GB2312" w:eastAsia="楷体_GB2312"/>
          <w:sz w:val="28"/>
          <w:szCs w:val="28"/>
        </w:rPr>
        <w:t>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7</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张家产</w:t>
      </w:r>
      <w:r>
        <w:rPr>
          <w:rFonts w:hint="eastAsia" w:ascii="楷体_GB2312" w:eastAsia="楷体_GB2312"/>
          <w:sz w:val="28"/>
          <w:szCs w:val="28"/>
        </w:rPr>
        <w:t>镇</w:t>
      </w:r>
      <w:r>
        <w:rPr>
          <w:rFonts w:hint="eastAsia" w:ascii="楷体_GB2312" w:eastAsia="楷体_GB2312"/>
          <w:sz w:val="28"/>
          <w:szCs w:val="28"/>
          <w:lang w:eastAsia="zh-CN"/>
        </w:rPr>
        <w:t>镇村建设</w:t>
      </w:r>
      <w:r>
        <w:rPr>
          <w:rFonts w:hint="eastAsia" w:ascii="楷体_GB2312" w:eastAsia="楷体_GB2312"/>
          <w:sz w:val="28"/>
          <w:szCs w:val="28"/>
        </w:rPr>
        <w:t>服务中心</w:t>
      </w:r>
    </w:p>
    <w:p>
      <w:pPr>
        <w:ind w:firstLine="632" w:firstLineChars="200"/>
        <w:rPr>
          <w:rFonts w:hint="eastAsia" w:ascii="仿宋_GB2312" w:eastAsia="仿宋_GB2312"/>
        </w:rPr>
      </w:pPr>
      <w:r>
        <w:rPr>
          <w:rFonts w:hint="eastAsia" w:ascii="仿宋_GB2312" w:eastAsia="仿宋_GB2312"/>
          <w:lang w:val="en-US" w:eastAsia="zh-CN"/>
        </w:rPr>
        <w:t>8</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埠口港管理委员会</w:t>
      </w:r>
      <w:r>
        <w:rPr>
          <w:rFonts w:hint="eastAsia" w:ascii="楷体_GB2312" w:eastAsia="楷体_GB2312"/>
          <w:sz w:val="28"/>
          <w:szCs w:val="28"/>
        </w:rPr>
        <w:t>（本级）</w:t>
      </w:r>
    </w:p>
    <w:p>
      <w:pPr>
        <w:ind w:firstLine="632" w:firstLineChars="200"/>
        <w:rPr>
          <w:rFonts w:hint="eastAsia" w:ascii="楷体_GB2312" w:eastAsia="楷体_GB2312"/>
          <w:sz w:val="28"/>
          <w:szCs w:val="28"/>
          <w:lang w:val="en-US" w:eastAsia="zh-CN"/>
        </w:rPr>
      </w:pPr>
      <w:r>
        <w:rPr>
          <w:rFonts w:hint="eastAsia" w:ascii="仿宋_GB2312" w:eastAsia="仿宋_GB2312"/>
          <w:lang w:val="en-US" w:eastAsia="zh-CN"/>
        </w:rPr>
        <w:t>9</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埠口港管理委员会</w:t>
      </w:r>
      <w:r>
        <w:rPr>
          <w:rFonts w:hint="eastAsia" w:ascii="楷体_GB2312" w:eastAsia="楷体_GB2312"/>
          <w:sz w:val="28"/>
          <w:szCs w:val="28"/>
        </w:rPr>
        <w:t>机关服务中心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10</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埠口港管理委员会财政经管</w:t>
      </w:r>
      <w:r>
        <w:rPr>
          <w:rFonts w:hint="eastAsia" w:ascii="楷体_GB2312" w:eastAsia="楷体_GB2312"/>
          <w:sz w:val="28"/>
          <w:szCs w:val="28"/>
        </w:rPr>
        <w:t>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11</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埠口港管理委员会计划生育</w:t>
      </w:r>
      <w:r>
        <w:rPr>
          <w:rFonts w:hint="eastAsia" w:ascii="楷体_GB2312" w:eastAsia="楷体_GB2312"/>
          <w:sz w:val="28"/>
          <w:szCs w:val="28"/>
        </w:rPr>
        <w:t>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12</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埠口港管理委员会农业综合</w:t>
      </w:r>
      <w:r>
        <w:rPr>
          <w:rFonts w:hint="eastAsia" w:ascii="楷体_GB2312" w:eastAsia="楷体_GB2312"/>
          <w:sz w:val="28"/>
          <w:szCs w:val="28"/>
        </w:rPr>
        <w:t>服务中心</w:t>
      </w:r>
    </w:p>
    <w:p>
      <w:pPr>
        <w:ind w:firstLine="632" w:firstLineChars="200"/>
        <w:rPr>
          <w:rFonts w:hint="eastAsia" w:ascii="楷体_GB2312" w:eastAsia="楷体_GB2312"/>
          <w:sz w:val="28"/>
          <w:szCs w:val="28"/>
        </w:rPr>
      </w:pPr>
      <w:r>
        <w:rPr>
          <w:rFonts w:hint="eastAsia" w:ascii="仿宋_GB2312" w:eastAsia="仿宋_GB2312"/>
          <w:lang w:val="en-US" w:eastAsia="zh-CN"/>
        </w:rPr>
        <w:t>13</w:t>
      </w:r>
      <w:r>
        <w:rPr>
          <w:rFonts w:hint="eastAsia" w:ascii="仿宋_GB2312" w:eastAsia="仿宋_GB2312"/>
        </w:rPr>
        <w:t>、</w:t>
      </w:r>
      <w:r>
        <w:rPr>
          <w:rFonts w:hint="eastAsia" w:ascii="楷体_GB2312" w:eastAsia="楷体_GB2312"/>
          <w:sz w:val="28"/>
          <w:szCs w:val="28"/>
        </w:rPr>
        <w:t>威海市文登区</w:t>
      </w:r>
      <w:r>
        <w:rPr>
          <w:rFonts w:hint="eastAsia" w:ascii="楷体_GB2312" w:eastAsia="楷体_GB2312"/>
          <w:sz w:val="28"/>
          <w:szCs w:val="28"/>
          <w:lang w:eastAsia="zh-CN"/>
        </w:rPr>
        <w:t>埠口港管理委员会社会保障</w:t>
      </w:r>
      <w:r>
        <w:rPr>
          <w:rFonts w:hint="eastAsia" w:ascii="楷体_GB2312" w:eastAsia="楷体_GB2312"/>
          <w:sz w:val="28"/>
          <w:szCs w:val="28"/>
        </w:rPr>
        <w:t>服务中心</w:t>
      </w: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jc w:val="center"/>
        <w:rPr>
          <w:rFonts w:ascii="方正小标宋简体" w:eastAsia="方正小标宋简体"/>
          <w:sz w:val="42"/>
        </w:rPr>
      </w:pPr>
    </w:p>
    <w:p>
      <w:pPr>
        <w:ind w:firstLine="536" w:firstLineChars="100"/>
        <w:rPr>
          <w:rFonts w:ascii="方正小标宋简体" w:eastAsia="方正小标宋简体"/>
          <w:spacing w:val="60"/>
          <w:sz w:val="42"/>
        </w:rPr>
      </w:pPr>
      <w:r>
        <w:rPr>
          <w:rFonts w:hint="eastAsia" w:ascii="方正小标宋简体" w:eastAsia="方正小标宋简体"/>
          <w:spacing w:val="60"/>
          <w:sz w:val="42"/>
        </w:rPr>
        <w:t>第二部分</w:t>
      </w:r>
    </w:p>
    <w:p>
      <w:pPr>
        <w:jc w:val="center"/>
        <w:rPr>
          <w:rFonts w:ascii="方正小标宋简体" w:eastAsia="方正小标宋简体"/>
          <w:spacing w:val="60"/>
          <w:sz w:val="42"/>
        </w:rPr>
      </w:pPr>
    </w:p>
    <w:p>
      <w:pPr>
        <w:jc w:val="center"/>
        <w:rPr>
          <w:rFonts w:ascii="方正小标宋简体" w:eastAsia="方正小标宋简体"/>
          <w:spacing w:val="60"/>
          <w:sz w:val="42"/>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r>
        <w:rPr>
          <w:rFonts w:hint="eastAsia" w:ascii="方正小标宋简体" w:eastAsia="方正小标宋简体"/>
          <w:spacing w:val="60"/>
          <w:sz w:val="48"/>
        </w:rPr>
        <w:t>2019年度部门决算表</w:t>
      </w:r>
    </w:p>
    <w:p>
      <w:pPr>
        <w:jc w:val="center"/>
        <w:rPr>
          <w:rFonts w:ascii="方正小标宋简体" w:eastAsia="方正小标宋简体"/>
          <w:sz w:val="44"/>
          <w:szCs w:val="44"/>
        </w:rPr>
      </w:pPr>
      <w:r>
        <w:rPr>
          <w:rFonts w:hint="eastAsia" w:ascii="方正小标宋简体" w:eastAsia="方正小标宋简体"/>
          <w:sz w:val="44"/>
          <w:szCs w:val="44"/>
        </w:rPr>
        <w:t>收入支出决算总表</w:t>
      </w:r>
    </w:p>
    <w:p>
      <w:pPr>
        <w:wordWrap w:val="0"/>
        <w:spacing w:line="400" w:lineRule="exact"/>
        <w:jc w:val="right"/>
        <w:rPr>
          <w:rFonts w:ascii="楷体_GB2312" w:eastAsia="楷体_GB2312"/>
          <w:sz w:val="28"/>
          <w:szCs w:val="28"/>
        </w:rPr>
      </w:pPr>
      <w:r>
        <w:rPr>
          <w:rFonts w:hint="eastAsia" w:ascii="楷体_GB2312" w:eastAsia="楷体_GB2312"/>
          <w:sz w:val="28"/>
          <w:szCs w:val="28"/>
        </w:rPr>
        <w:t xml:space="preserve"> 公开01表</w:t>
      </w:r>
    </w:p>
    <w:p>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部门：威海市文登区张家产镇人民政府（本级）                                  单位：万元</w:t>
      </w:r>
    </w:p>
    <w:tbl>
      <w:tblPr>
        <w:tblStyle w:val="4"/>
        <w:tblW w:w="9095" w:type="dxa"/>
        <w:jc w:val="center"/>
        <w:tblLayout w:type="fixed"/>
        <w:tblCellMar>
          <w:top w:w="0" w:type="dxa"/>
          <w:left w:w="108" w:type="dxa"/>
          <w:bottom w:w="0" w:type="dxa"/>
          <w:right w:w="108" w:type="dxa"/>
        </w:tblCellMar>
      </w:tblPr>
      <w:tblGrid>
        <w:gridCol w:w="2879"/>
        <w:gridCol w:w="714"/>
        <w:gridCol w:w="1017"/>
        <w:gridCol w:w="2788"/>
        <w:gridCol w:w="662"/>
        <w:gridCol w:w="1035"/>
      </w:tblGrid>
      <w:tr>
        <w:tblPrEx>
          <w:tblCellMar>
            <w:top w:w="0" w:type="dxa"/>
            <w:left w:w="108" w:type="dxa"/>
            <w:bottom w:w="0" w:type="dxa"/>
            <w:right w:w="108" w:type="dxa"/>
          </w:tblCellMar>
        </w:tblPrEx>
        <w:trPr>
          <w:trHeight w:val="329" w:hRule="exact"/>
          <w:jc w:val="center"/>
        </w:trPr>
        <w:tc>
          <w:tcPr>
            <w:tcW w:w="4610" w:type="dxa"/>
            <w:gridSpan w:val="3"/>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收 入</w:t>
            </w:r>
          </w:p>
        </w:tc>
        <w:tc>
          <w:tcPr>
            <w:tcW w:w="4485" w:type="dxa"/>
            <w:gridSpan w:val="3"/>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支 出</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项 目</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行次</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决算数</w:t>
            </w:r>
          </w:p>
        </w:tc>
        <w:tc>
          <w:tcPr>
            <w:tcW w:w="2788"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项目（按功能分类）</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行次</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决算数</w:t>
            </w:r>
          </w:p>
        </w:tc>
      </w:tr>
      <w:tr>
        <w:tblPrEx>
          <w:tblCellMar>
            <w:top w:w="0" w:type="dxa"/>
            <w:left w:w="108" w:type="dxa"/>
            <w:bottom w:w="0" w:type="dxa"/>
            <w:right w:w="108" w:type="dxa"/>
          </w:tblCellMar>
        </w:tblPrEx>
        <w:trPr>
          <w:trHeight w:val="25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栏 次</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22"/>
                <w:szCs w:val="22"/>
              </w:rPr>
            </w:pP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1</w:t>
            </w:r>
          </w:p>
        </w:tc>
        <w:tc>
          <w:tcPr>
            <w:tcW w:w="2788"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栏 次</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22"/>
                <w:szCs w:val="22"/>
              </w:rPr>
            </w:pPr>
          </w:p>
        </w:tc>
        <w:tc>
          <w:tcPr>
            <w:tcW w:w="1035"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22"/>
                <w:szCs w:val="22"/>
              </w:rPr>
            </w:pPr>
            <w:r>
              <w:rPr>
                <w:rFonts w:hint="eastAsia" w:ascii="仿宋_GB2312" w:eastAsia="仿宋_GB2312"/>
                <w:sz w:val="22"/>
                <w:szCs w:val="22"/>
              </w:rPr>
              <w:t>2</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一、一般公共预算财政拨款收入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4,585.46</w:t>
            </w: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一、一般公共服务支出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30</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711.30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二、政府性基金预算财政拨款收入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1,048.93</w:t>
            </w: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二、外交支出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31</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三、上级补助收入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0.00</w:t>
            </w: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三、国防支出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32</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四、事业收入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0.00</w:t>
            </w: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四、公共安全支出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33</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五、经营收入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0.00</w:t>
            </w: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五、教育支出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34</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六、附属单位上缴收入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6</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0.00</w:t>
            </w: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六、科学技术支出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35</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0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七、其他收入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7</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0.00</w:t>
            </w: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七、文化旅游体育与传媒支出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36</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8</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八、社会保障和就业支出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37</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156.07</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9</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九、卫生健康支出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38</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61.17</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10</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十、节能环保支出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39</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11</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十一、城乡社区支出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40</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3,194.71</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12</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十二、农林水支出</w:t>
            </w:r>
          </w:p>
        </w:tc>
        <w:tc>
          <w:tcPr>
            <w:tcW w:w="662" w:type="dxa"/>
            <w:tcBorders>
              <w:top w:val="nil"/>
              <w:left w:val="single" w:color="auto" w:sz="4" w:space="0"/>
              <w:bottom w:val="single" w:color="auto" w:sz="4" w:space="0"/>
              <w:right w:val="nil"/>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41</w:t>
            </w:r>
          </w:p>
        </w:tc>
        <w:tc>
          <w:tcPr>
            <w:tcW w:w="1035" w:type="dxa"/>
            <w:tcBorders>
              <w:top w:val="nil"/>
              <w:left w:val="single" w:color="auto" w:sz="4" w:space="0"/>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1,097.94</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13</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十三、交通运输支出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42</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300.00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14</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十四、资源勘探信息等支出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43</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15</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十五、商业服务业等支出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44</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16</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十六、金融支出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45</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17</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十七、援助其他地区支出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46</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484"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18</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十八、自然资源海洋气象等支出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47</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19</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十九、住房保障支出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48</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83.20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20</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二十、粮油物资储备支出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49</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4"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21</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二十一、灾害防治及应急管理支出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50</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22</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二十二、其他支出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51</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30.00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23</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二十三、债务还本支出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52</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24</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rPr>
            </w:pPr>
            <w:r>
              <w:rPr>
                <w:rFonts w:hint="eastAsia" w:ascii="仿宋_GB2312" w:eastAsia="仿宋_GB2312"/>
                <w:sz w:val="18"/>
                <w:szCs w:val="18"/>
                <w:lang w:val="en-US" w:eastAsia="zh-CN"/>
              </w:rPr>
              <w:t>二十四、债务付息支出</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53</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eastAsia="仿宋_GB2312"/>
                <w:sz w:val="18"/>
                <w:szCs w:val="18"/>
                <w:lang w:val="en-US" w:eastAsia="zh-CN"/>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本年收入合计</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25</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5634.39</w:t>
            </w:r>
          </w:p>
        </w:tc>
        <w:tc>
          <w:tcPr>
            <w:tcW w:w="2788"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本年支出合计</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54</w:t>
            </w:r>
          </w:p>
        </w:tc>
        <w:tc>
          <w:tcPr>
            <w:tcW w:w="1035" w:type="dxa"/>
            <w:tcBorders>
              <w:top w:val="nil"/>
              <w:left w:val="nil"/>
              <w:bottom w:val="single" w:color="auto" w:sz="4" w:space="0"/>
              <w:right w:val="single" w:color="auto" w:sz="4" w:space="0"/>
            </w:tcBorders>
            <w:noWrap/>
            <w:vAlign w:val="center"/>
          </w:tcPr>
          <w:p>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5634.39</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用事业基金弥补收支差额</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26</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hAnsi="Times New Roman" w:eastAsia="仿宋_GB2312" w:cs="Times New Roman"/>
                <w:kern w:val="2"/>
                <w:sz w:val="18"/>
                <w:szCs w:val="18"/>
                <w:lang w:val="en-US" w:eastAsia="zh-CN" w:bidi="ar-SA"/>
              </w:rPr>
            </w:pPr>
            <w:r>
              <w:rPr>
                <w:rFonts w:hint="eastAsia" w:ascii="仿宋_GB2312" w:eastAsia="仿宋_GB2312"/>
                <w:sz w:val="18"/>
                <w:szCs w:val="18"/>
                <w:lang w:val="en-US" w:eastAsia="zh-CN"/>
              </w:rPr>
              <w:t>0.00</w:t>
            </w:r>
          </w:p>
        </w:tc>
        <w:tc>
          <w:tcPr>
            <w:tcW w:w="2788" w:type="dxa"/>
            <w:tcBorders>
              <w:top w:val="nil"/>
              <w:left w:val="nil"/>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结余分配</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55</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hAnsi="Times New Roman" w:eastAsia="仿宋_GB2312" w:cs="Times New Roman"/>
                <w:kern w:val="2"/>
                <w:sz w:val="18"/>
                <w:szCs w:val="18"/>
                <w:lang w:val="en-US" w:eastAsia="zh-CN" w:bidi="ar-SA"/>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年初结转和结余</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27</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eastAsia" w:ascii="仿宋_GB2312" w:hAnsi="Times New Roman" w:eastAsia="仿宋_GB2312" w:cs="Times New Roman"/>
                <w:kern w:val="2"/>
                <w:sz w:val="18"/>
                <w:szCs w:val="18"/>
                <w:lang w:val="en-US" w:eastAsia="zh-CN" w:bidi="ar-SA"/>
              </w:rPr>
            </w:pPr>
            <w:r>
              <w:rPr>
                <w:rFonts w:hint="eastAsia" w:ascii="仿宋_GB2312" w:eastAsia="仿宋_GB2312"/>
                <w:sz w:val="18"/>
                <w:szCs w:val="18"/>
                <w:lang w:val="en-US" w:eastAsia="zh-CN"/>
              </w:rPr>
              <w:t>0.00</w:t>
            </w:r>
          </w:p>
        </w:tc>
        <w:tc>
          <w:tcPr>
            <w:tcW w:w="2788" w:type="dxa"/>
            <w:tcBorders>
              <w:top w:val="nil"/>
              <w:left w:val="nil"/>
              <w:bottom w:val="single" w:color="auto" w:sz="4" w:space="0"/>
              <w:right w:val="single" w:color="auto" w:sz="4" w:space="0"/>
            </w:tcBorders>
            <w:noWrap/>
            <w:vAlign w:val="center"/>
          </w:tcPr>
          <w:p>
            <w:pPr>
              <w:spacing w:line="240" w:lineRule="exact"/>
              <w:jc w:val="left"/>
              <w:rPr>
                <w:rFonts w:ascii="仿宋_GB2312" w:eastAsia="仿宋_GB2312"/>
                <w:sz w:val="18"/>
                <w:szCs w:val="18"/>
              </w:rPr>
            </w:pPr>
            <w:r>
              <w:rPr>
                <w:rFonts w:hint="eastAsia" w:ascii="仿宋_GB2312" w:eastAsia="仿宋_GB2312"/>
                <w:sz w:val="18"/>
                <w:szCs w:val="18"/>
              </w:rPr>
              <w:t>年末结转和结余</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56</w:t>
            </w:r>
          </w:p>
        </w:tc>
        <w:tc>
          <w:tcPr>
            <w:tcW w:w="1035" w:type="dxa"/>
            <w:tcBorders>
              <w:top w:val="nil"/>
              <w:left w:val="nil"/>
              <w:bottom w:val="single" w:color="auto" w:sz="4" w:space="0"/>
              <w:right w:val="single" w:color="auto" w:sz="4" w:space="0"/>
            </w:tcBorders>
            <w:noWrap/>
            <w:vAlign w:val="center"/>
          </w:tcPr>
          <w:p>
            <w:pPr>
              <w:spacing w:line="240" w:lineRule="exact"/>
              <w:jc w:val="left"/>
              <w:rPr>
                <w:rFonts w:hint="eastAsia" w:ascii="仿宋_GB2312" w:hAnsi="Times New Roman" w:eastAsia="仿宋_GB2312" w:cs="Times New Roman"/>
                <w:kern w:val="2"/>
                <w:sz w:val="18"/>
                <w:szCs w:val="18"/>
                <w:lang w:val="en-US" w:eastAsia="zh-CN" w:bidi="ar-SA"/>
              </w:rPr>
            </w:pPr>
            <w:r>
              <w:rPr>
                <w:rFonts w:hint="eastAsia" w:ascii="仿宋_GB2312" w:eastAsia="仿宋_GB2312"/>
                <w:sz w:val="18"/>
                <w:szCs w:val="18"/>
                <w:lang w:val="en-US" w:eastAsia="zh-CN"/>
              </w:rPr>
              <w:t>0.00</w:t>
            </w:r>
          </w:p>
        </w:tc>
      </w:tr>
      <w:tr>
        <w:tblPrEx>
          <w:tblCellMar>
            <w:top w:w="0" w:type="dxa"/>
            <w:left w:w="108" w:type="dxa"/>
            <w:bottom w:w="0" w:type="dxa"/>
            <w:right w:w="108" w:type="dxa"/>
          </w:tblCellMar>
        </w:tblPrEx>
        <w:trPr>
          <w:trHeight w:val="234"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28</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2788"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57</w:t>
            </w:r>
          </w:p>
        </w:tc>
        <w:tc>
          <w:tcPr>
            <w:tcW w:w="1035"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p>
        </w:tc>
      </w:tr>
      <w:tr>
        <w:tblPrEx>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总计</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29</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5634.39</w:t>
            </w:r>
          </w:p>
        </w:tc>
        <w:tc>
          <w:tcPr>
            <w:tcW w:w="2788"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总计</w:t>
            </w:r>
          </w:p>
        </w:tc>
        <w:tc>
          <w:tcPr>
            <w:tcW w:w="662" w:type="dxa"/>
            <w:tcBorders>
              <w:top w:val="nil"/>
              <w:left w:val="nil"/>
              <w:bottom w:val="single" w:color="auto" w:sz="4" w:space="0"/>
              <w:right w:val="single" w:color="auto" w:sz="4" w:space="0"/>
            </w:tcBorders>
            <w:noWrap/>
            <w:vAlign w:val="center"/>
          </w:tcPr>
          <w:p>
            <w:pPr>
              <w:spacing w:line="240" w:lineRule="exact"/>
              <w:jc w:val="center"/>
              <w:rPr>
                <w:rFonts w:ascii="仿宋_GB2312" w:eastAsia="仿宋_GB2312"/>
                <w:sz w:val="18"/>
                <w:szCs w:val="18"/>
              </w:rPr>
            </w:pPr>
            <w:r>
              <w:rPr>
                <w:rFonts w:hint="eastAsia" w:ascii="仿宋_GB2312" w:eastAsia="仿宋_GB2312"/>
                <w:sz w:val="18"/>
                <w:szCs w:val="18"/>
              </w:rPr>
              <w:t>58</w:t>
            </w:r>
          </w:p>
        </w:tc>
        <w:tc>
          <w:tcPr>
            <w:tcW w:w="1035" w:type="dxa"/>
            <w:tcBorders>
              <w:top w:val="nil"/>
              <w:left w:val="nil"/>
              <w:bottom w:val="single" w:color="auto" w:sz="4" w:space="0"/>
              <w:right w:val="single" w:color="auto" w:sz="4" w:space="0"/>
            </w:tcBorders>
            <w:noWrap/>
            <w:vAlign w:val="center"/>
          </w:tcPr>
          <w:p>
            <w:pPr>
              <w:spacing w:line="240" w:lineRule="exact"/>
              <w:jc w:val="center"/>
              <w:rPr>
                <w:rFonts w:hint="default" w:ascii="仿宋_GB2312" w:eastAsia="仿宋_GB2312"/>
                <w:sz w:val="18"/>
                <w:szCs w:val="18"/>
                <w:lang w:val="en-US" w:eastAsia="zh-CN"/>
              </w:rPr>
            </w:pPr>
            <w:r>
              <w:rPr>
                <w:rFonts w:hint="eastAsia" w:ascii="仿宋_GB2312" w:eastAsia="仿宋_GB2312"/>
                <w:sz w:val="18"/>
                <w:szCs w:val="18"/>
                <w:lang w:val="en-US" w:eastAsia="zh-CN"/>
              </w:rPr>
              <w:t>5634.39</w:t>
            </w:r>
          </w:p>
        </w:tc>
      </w:tr>
    </w:tbl>
    <w:p>
      <w:pPr>
        <w:ind w:firstLine="88" w:firstLineChars="50"/>
        <w:rPr>
          <w:rFonts w:ascii="楷体_GB2312" w:eastAsia="楷体_GB2312"/>
          <w:sz w:val="18"/>
          <w:szCs w:val="18"/>
        </w:rPr>
      </w:pPr>
      <w:r>
        <w:rPr>
          <w:rFonts w:hint="eastAsia" w:ascii="仿宋_GB2312" w:hAnsi="宋体" w:eastAsia="仿宋_GB2312"/>
          <w:sz w:val="18"/>
          <w:szCs w:val="18"/>
        </w:rPr>
        <w:t>注：本表反映部门本年度的总收支和年末结转结余情况。</w:t>
      </w:r>
    </w:p>
    <w:p>
      <w:pPr>
        <w:rPr>
          <w:rFonts w:ascii="楷体_GB2312" w:eastAsia="楷体_GB2312"/>
          <w:sz w:val="28"/>
          <w:szCs w:val="28"/>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p>
    <w:p>
      <w:pPr>
        <w:jc w:val="center"/>
        <w:rPr>
          <w:rFonts w:ascii="方正小标宋简体" w:eastAsia="方正小标宋简体"/>
          <w:sz w:val="44"/>
          <w:szCs w:val="44"/>
        </w:rPr>
      </w:pPr>
      <w:r>
        <w:rPr>
          <w:rFonts w:hint="eastAsia" w:ascii="方正小标宋简体" w:eastAsia="方正小标宋简体"/>
          <w:sz w:val="44"/>
          <w:szCs w:val="44"/>
        </w:rPr>
        <w:t>收入决算表</w:t>
      </w:r>
    </w:p>
    <w:p>
      <w:pPr>
        <w:wordWrap w:val="0"/>
        <w:spacing w:line="400" w:lineRule="exact"/>
        <w:jc w:val="right"/>
        <w:rPr>
          <w:rFonts w:ascii="楷体_GB2312" w:eastAsia="楷体_GB2312"/>
          <w:sz w:val="28"/>
          <w:szCs w:val="28"/>
        </w:rPr>
      </w:pPr>
      <w:r>
        <w:rPr>
          <w:rFonts w:hint="eastAsia" w:ascii="楷体_GB2312" w:eastAsia="楷体_GB2312"/>
          <w:sz w:val="28"/>
          <w:szCs w:val="28"/>
        </w:rPr>
        <w:t xml:space="preserve"> 公开02表 </w:t>
      </w:r>
    </w:p>
    <w:p>
      <w:pPr>
        <w:tabs>
          <w:tab w:val="left" w:pos="13467"/>
        </w:tabs>
        <w:wordWrap w:val="0"/>
        <w:spacing w:line="400" w:lineRule="exact"/>
        <w:ind w:right="107"/>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威海市文登区张家产镇人民政府</w:t>
      </w:r>
      <w:r>
        <w:rPr>
          <w:rFonts w:hint="eastAsia" w:ascii="楷体_GB2312" w:eastAsia="楷体_GB2312"/>
          <w:sz w:val="28"/>
          <w:szCs w:val="28"/>
        </w:rPr>
        <w:t>（本级）</w:t>
      </w:r>
      <w:r>
        <w:rPr>
          <w:rFonts w:hint="eastAsia" w:ascii="楷体_GB2312" w:eastAsia="楷体_GB2312"/>
          <w:sz w:val="28"/>
          <w:szCs w:val="28"/>
          <w:lang w:val="en-US" w:eastAsia="zh-CN"/>
        </w:rPr>
        <w:t xml:space="preserve">      </w:t>
      </w:r>
      <w:r>
        <w:rPr>
          <w:rFonts w:hint="eastAsia" w:ascii="楷体_GB2312" w:eastAsia="楷体_GB2312"/>
          <w:sz w:val="28"/>
          <w:szCs w:val="28"/>
        </w:rPr>
        <w:t xml:space="preserve">                                      单位：万元</w:t>
      </w:r>
    </w:p>
    <w:tbl>
      <w:tblPr>
        <w:tblStyle w:val="4"/>
        <w:tblW w:w="13433" w:type="dxa"/>
        <w:jc w:val="center"/>
        <w:tblLayout w:type="fixed"/>
        <w:tblCellMar>
          <w:top w:w="0" w:type="dxa"/>
          <w:left w:w="108" w:type="dxa"/>
          <w:bottom w:w="0" w:type="dxa"/>
          <w:right w:w="108" w:type="dxa"/>
        </w:tblCellMar>
      </w:tblPr>
      <w:tblGrid>
        <w:gridCol w:w="1296"/>
        <w:gridCol w:w="110"/>
        <w:gridCol w:w="1407"/>
        <w:gridCol w:w="1517"/>
        <w:gridCol w:w="1517"/>
        <w:gridCol w:w="1517"/>
        <w:gridCol w:w="1517"/>
        <w:gridCol w:w="1517"/>
        <w:gridCol w:w="1517"/>
        <w:gridCol w:w="1518"/>
      </w:tblGrid>
      <w:tr>
        <w:tblPrEx>
          <w:tblCellMar>
            <w:top w:w="0" w:type="dxa"/>
            <w:left w:w="108" w:type="dxa"/>
            <w:bottom w:w="0" w:type="dxa"/>
            <w:right w:w="108" w:type="dxa"/>
          </w:tblCellMar>
        </w:tblPrEx>
        <w:trPr>
          <w:trHeight w:val="458" w:hRule="atLeast"/>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本年收入合计</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财政拨款收入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上级补助收入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ind w:firstLine="216" w:firstLineChars="100"/>
              <w:rPr>
                <w:rFonts w:ascii="仿宋_GB2312" w:hAnsi="宋体" w:eastAsia="仿宋_GB2312" w:cs="宋体"/>
                <w:kern w:val="0"/>
                <w:sz w:val="22"/>
                <w:szCs w:val="22"/>
              </w:rPr>
            </w:pPr>
            <w:r>
              <w:rPr>
                <w:rFonts w:hint="eastAsia" w:ascii="仿宋_GB2312" w:hAnsi="宋体" w:eastAsia="仿宋_GB2312" w:cs="宋体"/>
                <w:kern w:val="0"/>
                <w:sz w:val="22"/>
                <w:szCs w:val="22"/>
              </w:rPr>
              <w:t>事业收入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经营收入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ind w:left="648" w:hanging="648" w:hangingChars="300"/>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附属单位    </w:t>
            </w:r>
          </w:p>
          <w:p>
            <w:pPr>
              <w:widowControl/>
              <w:spacing w:line="300" w:lineRule="exact"/>
              <w:ind w:left="648" w:hanging="648" w:hangingChars="300"/>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上缴收入</w:t>
            </w:r>
          </w:p>
        </w:tc>
        <w:tc>
          <w:tcPr>
            <w:tcW w:w="1518"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其他收入</w:t>
            </w:r>
          </w:p>
        </w:tc>
      </w:tr>
      <w:tr>
        <w:tblPrEx>
          <w:tblCellMar>
            <w:top w:w="0" w:type="dxa"/>
            <w:left w:w="108" w:type="dxa"/>
            <w:bottom w:w="0" w:type="dxa"/>
            <w:right w:w="108" w:type="dxa"/>
          </w:tblCellMar>
        </w:tblPrEx>
        <w:trPr>
          <w:trHeight w:val="457" w:hRule="atLeast"/>
          <w:jc w:val="center"/>
        </w:trPr>
        <w:tc>
          <w:tcPr>
            <w:tcW w:w="1406"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407"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ind w:firstLine="216" w:firstLineChars="100"/>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ind w:left="648" w:hanging="648" w:hangingChars="300"/>
              <w:jc w:val="center"/>
              <w:rPr>
                <w:rFonts w:ascii="仿宋_GB2312" w:hAnsi="宋体" w:eastAsia="仿宋_GB2312" w:cs="宋体"/>
                <w:kern w:val="0"/>
                <w:sz w:val="22"/>
                <w:szCs w:val="22"/>
              </w:rPr>
            </w:pPr>
          </w:p>
        </w:tc>
        <w:tc>
          <w:tcPr>
            <w:tcW w:w="1518" w:type="dxa"/>
            <w:vMerge w:val="continue"/>
            <w:tcBorders>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r>
      <w:tr>
        <w:tblPrEx>
          <w:tblCellMar>
            <w:top w:w="0" w:type="dxa"/>
            <w:left w:w="108" w:type="dxa"/>
            <w:bottom w:w="0" w:type="dxa"/>
            <w:right w:w="108" w:type="dxa"/>
          </w:tblCellMar>
        </w:tblPrEx>
        <w:trPr>
          <w:trHeight w:val="397" w:hRule="atLeast"/>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51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7</w:t>
            </w:r>
          </w:p>
        </w:tc>
      </w:tr>
      <w:tr>
        <w:tblPrEx>
          <w:tblCellMar>
            <w:top w:w="0" w:type="dxa"/>
            <w:left w:w="108" w:type="dxa"/>
            <w:bottom w:w="0" w:type="dxa"/>
            <w:right w:w="108" w:type="dxa"/>
          </w:tblCellMar>
        </w:tblPrEx>
        <w:trPr>
          <w:trHeight w:val="397" w:hRule="atLeast"/>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5,634.39</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5,634.39</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一般公共服务支出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711.30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711.30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20103</w:t>
            </w:r>
          </w:p>
        </w:tc>
        <w:tc>
          <w:tcPr>
            <w:tcW w:w="1517"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2010301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财政事务</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103.47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103.47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2010699</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其他财政事务支出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20132</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组织事务</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2013299</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其他组织事务支出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社会保障和就业支出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156.07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156.07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2080101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行政事业单位离退休</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2080505</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抚恤</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52.16</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52.16</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死亡抚恤</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2080899</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其他优抚支出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其他社会保障和就业支出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其他社会保障和就业支出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卫生健康管理事务</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2100101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行政事业单位医疗</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34.05</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34.05</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行政单位医疗</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15.68</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15.68</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2101102</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事业单位医疗</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2101103</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公务员医疗补助</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6.66</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6.66</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3,194.71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3,194.71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城乡社区管理事务</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1,673.14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1,673.14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2120199</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其他城乡社区管理事务支出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21203</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城乡社区公共设施</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2120303</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小城镇基础设施建设</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21208</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国有土地使用权出让收入及对应专项债务收入安排的支出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2120801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征地和拆迁补偿支出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21299</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其他城乡社区支出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2129901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2129901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农林水支出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1,097.94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1,097.94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农业</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2130101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农村综合改革</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对村级一事一议的补助</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196.80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196.80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2130705</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对村民委员会和村党支部的补助</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755.64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755.64</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交通运输支出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公路水路运输</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2140104</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公路建设</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住房保障支出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83.20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83.20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保障性安居工程支出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2210103</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棚户区改造</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22102</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住房改革支出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2210201</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住房公积金</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22960</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彩票公益金安排的支出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2296002</w:t>
            </w: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用于社会福利的彩票公益金支出</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7"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51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bl>
    <w:p>
      <w:pPr>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注：本表反映部门本年度取得的各项收入情况。</w:t>
      </w:r>
    </w:p>
    <w:p>
      <w:pPr>
        <w:jc w:val="center"/>
        <w:rPr>
          <w:rFonts w:ascii="方正小标宋简体" w:eastAsia="方正小标宋简体"/>
          <w:sz w:val="44"/>
          <w:szCs w:val="44"/>
        </w:rPr>
      </w:pPr>
      <w:r>
        <w:rPr>
          <w:rFonts w:hint="eastAsia" w:ascii="方正小标宋简体" w:eastAsia="方正小标宋简体"/>
          <w:sz w:val="44"/>
          <w:szCs w:val="44"/>
        </w:rPr>
        <w:t>支出决算表</w:t>
      </w:r>
    </w:p>
    <w:p>
      <w:pPr>
        <w:spacing w:line="400" w:lineRule="exact"/>
        <w:jc w:val="right"/>
        <w:rPr>
          <w:rFonts w:ascii="楷体_GB2312" w:eastAsia="楷体_GB2312"/>
          <w:sz w:val="28"/>
          <w:szCs w:val="28"/>
        </w:rPr>
      </w:pPr>
      <w:r>
        <w:rPr>
          <w:rFonts w:hint="eastAsia" w:ascii="楷体_GB2312" w:eastAsia="楷体_GB2312"/>
          <w:sz w:val="28"/>
          <w:szCs w:val="28"/>
        </w:rPr>
        <w:t xml:space="preserve">                                                                                   公开03表</w:t>
      </w:r>
    </w:p>
    <w:p>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 xml:space="preserve"> 部门：</w:t>
      </w:r>
      <w:r>
        <w:rPr>
          <w:rFonts w:hint="eastAsia" w:ascii="楷体_GB2312" w:eastAsia="楷体_GB2312"/>
          <w:sz w:val="28"/>
          <w:szCs w:val="28"/>
          <w:lang w:eastAsia="zh-CN"/>
        </w:rPr>
        <w:t>威海市文登区张家产镇人民政府</w:t>
      </w:r>
      <w:r>
        <w:rPr>
          <w:rFonts w:hint="eastAsia" w:ascii="楷体_GB2312" w:eastAsia="楷体_GB2312"/>
          <w:sz w:val="28"/>
          <w:szCs w:val="28"/>
        </w:rPr>
        <w:t>（本级）</w:t>
      </w:r>
      <w:r>
        <w:rPr>
          <w:rFonts w:hint="eastAsia" w:ascii="楷体_GB2312" w:eastAsia="楷体_GB2312"/>
          <w:sz w:val="28"/>
          <w:szCs w:val="28"/>
          <w:lang w:val="en-US" w:eastAsia="zh-CN"/>
        </w:rPr>
        <w:t xml:space="preserve">   </w:t>
      </w:r>
      <w:r>
        <w:rPr>
          <w:rFonts w:hint="eastAsia" w:ascii="楷体_GB2312" w:eastAsia="楷体_GB2312"/>
          <w:sz w:val="28"/>
          <w:szCs w:val="28"/>
        </w:rPr>
        <w:t xml:space="preserve">                                       单位：万元</w:t>
      </w:r>
    </w:p>
    <w:tbl>
      <w:tblPr>
        <w:tblStyle w:val="4"/>
        <w:tblW w:w="13378" w:type="dxa"/>
        <w:jc w:val="center"/>
        <w:tblLayout w:type="fixed"/>
        <w:tblCellMar>
          <w:top w:w="0" w:type="dxa"/>
          <w:left w:w="108" w:type="dxa"/>
          <w:bottom w:w="0" w:type="dxa"/>
          <w:right w:w="108" w:type="dxa"/>
        </w:tblCellMar>
      </w:tblPr>
      <w:tblGrid>
        <w:gridCol w:w="1344"/>
        <w:gridCol w:w="57"/>
        <w:gridCol w:w="1401"/>
        <w:gridCol w:w="1762"/>
        <w:gridCol w:w="1763"/>
        <w:gridCol w:w="1763"/>
        <w:gridCol w:w="1762"/>
        <w:gridCol w:w="1763"/>
        <w:gridCol w:w="1763"/>
      </w:tblGrid>
      <w:tr>
        <w:tblPrEx>
          <w:tblCellMar>
            <w:top w:w="0" w:type="dxa"/>
            <w:left w:w="108" w:type="dxa"/>
            <w:bottom w:w="0" w:type="dxa"/>
            <w:right w:w="108" w:type="dxa"/>
          </w:tblCellMar>
        </w:tblPrEx>
        <w:trPr>
          <w:trHeight w:val="458" w:hRule="atLeast"/>
          <w:jc w:val="center"/>
        </w:trPr>
        <w:tc>
          <w:tcPr>
            <w:tcW w:w="280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762"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本年支出合计</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c>
          <w:tcPr>
            <w:tcW w:w="1762"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上缴上级支出</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经营支出    </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对附属单位</w:t>
            </w:r>
          </w:p>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补助支出</w:t>
            </w:r>
          </w:p>
        </w:tc>
      </w:tr>
      <w:tr>
        <w:tblPrEx>
          <w:tblCellMar>
            <w:top w:w="0" w:type="dxa"/>
            <w:left w:w="108" w:type="dxa"/>
            <w:bottom w:w="0" w:type="dxa"/>
            <w:right w:w="108" w:type="dxa"/>
          </w:tblCellMar>
        </w:tblPrEx>
        <w:trPr>
          <w:trHeight w:val="457" w:hRule="atLeast"/>
          <w:jc w:val="center"/>
        </w:trPr>
        <w:tc>
          <w:tcPr>
            <w:tcW w:w="140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401"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762"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762"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r>
      <w:tr>
        <w:tblPrEx>
          <w:tblCellMar>
            <w:top w:w="0" w:type="dxa"/>
            <w:left w:w="108" w:type="dxa"/>
            <w:bottom w:w="0" w:type="dxa"/>
            <w:right w:w="108" w:type="dxa"/>
          </w:tblCellMar>
        </w:tblPrEx>
        <w:trPr>
          <w:trHeight w:val="406" w:hRule="atLeast"/>
          <w:jc w:val="center"/>
        </w:trPr>
        <w:tc>
          <w:tcPr>
            <w:tcW w:w="280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762"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62"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r>
      <w:tr>
        <w:tblPrEx>
          <w:tblCellMar>
            <w:top w:w="0" w:type="dxa"/>
            <w:left w:w="108" w:type="dxa"/>
            <w:bottom w:w="0" w:type="dxa"/>
            <w:right w:w="108" w:type="dxa"/>
          </w:tblCellMar>
        </w:tblPrEx>
        <w:trPr>
          <w:trHeight w:val="406" w:hRule="atLeast"/>
          <w:jc w:val="center"/>
        </w:trPr>
        <w:tc>
          <w:tcPr>
            <w:tcW w:w="280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762"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5,634.39</w:t>
            </w:r>
          </w:p>
        </w:tc>
        <w:tc>
          <w:tcPr>
            <w:tcW w:w="1763"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1,146.43</w:t>
            </w:r>
          </w:p>
        </w:tc>
        <w:tc>
          <w:tcPr>
            <w:tcW w:w="1763"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4,487.96</w:t>
            </w:r>
          </w:p>
        </w:tc>
        <w:tc>
          <w:tcPr>
            <w:tcW w:w="1762"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w:t>
            </w:r>
          </w:p>
        </w:tc>
        <w:tc>
          <w:tcPr>
            <w:tcW w:w="145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一般公共服务支出</w:t>
            </w:r>
          </w:p>
        </w:tc>
        <w:tc>
          <w:tcPr>
            <w:tcW w:w="1762" w:type="dxa"/>
            <w:tcBorders>
              <w:top w:val="single" w:color="auto" w:sz="4" w:space="0"/>
              <w:left w:val="nil"/>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711.30</w:t>
            </w:r>
          </w:p>
        </w:tc>
        <w:tc>
          <w:tcPr>
            <w:tcW w:w="1763" w:type="dxa"/>
            <w:tcBorders>
              <w:top w:val="single" w:color="auto" w:sz="4" w:space="0"/>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693.30</w:t>
            </w:r>
          </w:p>
        </w:tc>
        <w:tc>
          <w:tcPr>
            <w:tcW w:w="1763"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18.00</w:t>
            </w:r>
          </w:p>
        </w:tc>
        <w:tc>
          <w:tcPr>
            <w:tcW w:w="1762"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20103</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2010301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财政事务</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103.47</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2010699</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其他财政事务支出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20132</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组织事务</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2013299</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其他组织事务支出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社会保障和就业支出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156.07</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117.92</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38.15</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2080101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行政事业单位离退休</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2080505</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抚恤</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52.16</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死亡抚恤</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2080899</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其他优抚支出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其他社会保障和就业支出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2.06</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9.47</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其他社会保障和就业支出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2.06</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9.47</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卫生健康管理事务</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2100101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行政事业单位医疗</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34.05</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34.05</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行政单位医疗</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15.68</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15.68</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2101102</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事业单位医疗</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11.71</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11.71</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2101103</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公务员医疗补助</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6.66</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6.66</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3,194.71</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3,147.07</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城乡社区管理事务</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1,673.14</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2120199</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其他城乡社区管理事务支出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21203</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城乡社区公共设施</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2120303</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小城镇基础设施建设</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21208</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国有土地使用权出让收入及对应专项债务收入安排的支出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2120801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征地和拆迁补偿支出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21299</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其他城乡社区支出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2129901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2129901</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农林水支出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1,097.94</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农业</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2130101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农村综合改革</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对村级一事一议的补助</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196.80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196.80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2130705</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对村民委员会和村党支部的补助</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755.64</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755.64</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交通运输支出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公路水路运输</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2140104</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公路建设</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住房保障支出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83.20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保障性安居工程支出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2210103</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棚户区改造</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22102</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住房改革支出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2210201</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住房公积金</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22960</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彩票公益金安排的支出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2296002</w:t>
            </w:r>
          </w:p>
        </w:tc>
        <w:tc>
          <w:tcPr>
            <w:tcW w:w="1458" w:type="dxa"/>
            <w:gridSpan w:val="2"/>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用于社会福利的彩票公益金支出</w:t>
            </w:r>
          </w:p>
        </w:tc>
        <w:tc>
          <w:tcPr>
            <w:tcW w:w="1762" w:type="dxa"/>
            <w:tcBorders>
              <w:top w:val="nil"/>
              <w:left w:val="nil"/>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63" w:type="dxa"/>
            <w:tcBorders>
              <w:top w:val="nil"/>
              <w:left w:val="single" w:color="auto" w:sz="4" w:space="0"/>
              <w:bottom w:val="single" w:color="auto" w:sz="4" w:space="0"/>
              <w:right w:val="nil"/>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62"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6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bl>
    <w:p>
      <w:pPr>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注：本表反映部门本年度各项支出情况。</w:t>
      </w:r>
    </w:p>
    <w:p>
      <w:pPr>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p>
    <w:p>
      <w:pPr>
        <w:jc w:val="center"/>
        <w:rPr>
          <w:rFonts w:ascii="方正小标宋简体" w:eastAsia="方正小标宋简体"/>
          <w:sz w:val="44"/>
          <w:szCs w:val="44"/>
        </w:rPr>
      </w:pPr>
      <w:r>
        <w:rPr>
          <w:rFonts w:hint="eastAsia" w:ascii="方正小标宋简体" w:eastAsia="方正小标宋简体"/>
          <w:sz w:val="44"/>
          <w:szCs w:val="44"/>
        </w:rPr>
        <w:t>财政拨款收入支出决算总表</w:t>
      </w:r>
    </w:p>
    <w:p>
      <w:pPr>
        <w:spacing w:line="400" w:lineRule="exact"/>
        <w:jc w:val="right"/>
        <w:rPr>
          <w:rFonts w:ascii="楷体_GB2312" w:eastAsia="楷体_GB2312"/>
          <w:sz w:val="28"/>
          <w:szCs w:val="28"/>
        </w:rPr>
      </w:pPr>
      <w:r>
        <w:rPr>
          <w:rFonts w:hint="eastAsia" w:ascii="楷体_GB2312" w:eastAsia="楷体_GB2312"/>
          <w:sz w:val="28"/>
          <w:szCs w:val="28"/>
        </w:rPr>
        <w:t>公开04表</w:t>
      </w:r>
    </w:p>
    <w:p>
      <w:pPr>
        <w:spacing w:line="400" w:lineRule="exact"/>
        <w:ind w:firstLine="138" w:firstLineChars="50"/>
        <w:jc w:val="lef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威海市文登区张家产镇人民政府</w:t>
      </w:r>
      <w:r>
        <w:rPr>
          <w:rFonts w:hint="eastAsia" w:ascii="楷体_GB2312" w:eastAsia="楷体_GB2312"/>
          <w:sz w:val="28"/>
          <w:szCs w:val="28"/>
        </w:rPr>
        <w:t>（本级）                                           单位：万元</w:t>
      </w:r>
    </w:p>
    <w:tbl>
      <w:tblPr>
        <w:tblStyle w:val="4"/>
        <w:tblW w:w="133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022"/>
        <w:gridCol w:w="540"/>
        <w:gridCol w:w="1512"/>
        <w:gridCol w:w="2628"/>
        <w:gridCol w:w="540"/>
        <w:gridCol w:w="1699"/>
        <w:gridCol w:w="1700"/>
        <w:gridCol w:w="17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5074" w:type="dxa"/>
            <w:gridSpan w:val="3"/>
            <w:tcBorders>
              <w:top w:val="single" w:color="auto" w:sz="4" w:space="0"/>
              <w:bottom w:val="single" w:color="auto" w:sz="4" w:space="0"/>
              <w:right w:val="nil"/>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收 入</w:t>
            </w:r>
          </w:p>
        </w:tc>
        <w:tc>
          <w:tcPr>
            <w:tcW w:w="8267" w:type="dxa"/>
            <w:gridSpan w:val="5"/>
            <w:tcBorders>
              <w:top w:val="single" w:color="auto" w:sz="4" w:space="0"/>
              <w:left w:val="nil"/>
              <w:bottom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支 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行次</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决算数</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行次</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一般公共预算</w:t>
            </w:r>
          </w:p>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财政拨款</w:t>
            </w:r>
          </w:p>
        </w:tc>
        <w:tc>
          <w:tcPr>
            <w:tcW w:w="1700" w:type="dxa"/>
            <w:tcBorders>
              <w:top w:val="single" w:color="auto" w:sz="4" w:space="0"/>
              <w:left w:val="single" w:color="auto" w:sz="4" w:space="0"/>
              <w:bottom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政府性基金</w:t>
            </w:r>
          </w:p>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预算财政拨款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pPr>
              <w:widowControl/>
              <w:spacing w:line="300" w:lineRule="exact"/>
              <w:ind w:firstLine="1080" w:firstLineChars="500"/>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一、一般公共预算财政拨款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4,585.46</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一、一般公共服务支出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31</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711.30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711.30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二、政府性基金预算财政拨款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1,048.93</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二、外交支出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32</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三、国防支出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33</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四、公共安全支出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34</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五、教育支出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35</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六、科学技术支出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7</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七、文化旅游体育与传媒支出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8</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八、社会保障和就业支出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156.07</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156.07</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9</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九、卫生健康支出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39</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10</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十、节能环保支出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40</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11</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十一、城乡社区支出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41</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3,194.71</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2,175.78</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12</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十二、农林水支出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42</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1,097.94</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1,097.94</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13</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十三、交通运输支出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43</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14</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十四、资源勘探信息等支出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44</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15</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十五、商业服务业等支出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45</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16</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十六、金融支出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17</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十七、援助其他地区支出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18</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19</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十九、住房保障支出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49</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83.20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83.20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20</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二十、粮油物资储备支出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50</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21</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二十一、灾害防治及应急管理支出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51</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22</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二十二、其他支出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52</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23</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二十三、债务还本支出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53</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24</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二十四、债务付息支出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54</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25</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55</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right"/>
              <w:rPr>
                <w:rFonts w:hint="eastAsia"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right"/>
              <w:rPr>
                <w:rFonts w:hint="eastAsia"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tcBorders>
            <w:noWrap/>
            <w:vAlign w:val="center"/>
          </w:tcPr>
          <w:p>
            <w:pPr>
              <w:jc w:val="right"/>
              <w:rPr>
                <w:rFonts w:hint="eastAsia" w:ascii="仿宋_GB2312" w:hAnsi="宋体" w:eastAsia="仿宋_GB2312" w:cs="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pPr>
              <w:widowControl/>
              <w:spacing w:line="300" w:lineRule="exact"/>
              <w:jc w:val="center"/>
              <w:rPr>
                <w:rFonts w:hint="eastAsia" w:ascii="仿宋_GB2312" w:hAnsi="宋体" w:eastAsia="仿宋_GB2312" w:cs="宋体"/>
                <w:kern w:val="0"/>
                <w:sz w:val="22"/>
                <w:szCs w:val="22"/>
              </w:rPr>
            </w:pPr>
            <w:r>
              <w:rPr>
                <w:rFonts w:hint="eastAsia" w:ascii="仿宋_GB2312" w:hAnsi="宋体" w:eastAsia="仿宋_GB2312" w:cs="宋体"/>
                <w:bCs/>
                <w:kern w:val="0"/>
                <w:sz w:val="22"/>
                <w:szCs w:val="22"/>
              </w:rPr>
              <w:t>本年收入合计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26</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center"/>
              <w:rPr>
                <w:rFonts w:hint="eastAsia" w:ascii="仿宋_GB2312" w:hAnsi="宋体" w:eastAsia="仿宋_GB2312" w:cs="宋体"/>
                <w:kern w:val="0"/>
                <w:sz w:val="22"/>
                <w:szCs w:val="22"/>
              </w:rPr>
            </w:pPr>
            <w:r>
              <w:rPr>
                <w:rFonts w:hint="eastAsia" w:ascii="仿宋_GB2312" w:hAnsi="宋体" w:eastAsia="仿宋_GB2312" w:cs="宋体"/>
                <w:bCs/>
                <w:kern w:val="0"/>
                <w:sz w:val="22"/>
                <w:szCs w:val="22"/>
              </w:rPr>
              <w:t>本年支出合计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5,634.39</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4,585.46</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1,048.93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pPr>
              <w:widowControl/>
              <w:spacing w:line="300" w:lineRule="exac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年初财政拨款结转和结余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27</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年末财政拨款结转和结余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28</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right"/>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right"/>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tcBorders>
            <w:noWrap/>
            <w:vAlign w:val="center"/>
          </w:tcPr>
          <w:p>
            <w:pPr>
              <w:jc w:val="right"/>
              <w:rPr>
                <w:rFonts w:ascii="仿宋_GB2312" w:hAnsi="宋体" w:eastAsia="仿宋_GB2312" w:cs="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 xml:space="preserve">  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29</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lef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59</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right"/>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jc w:val="right"/>
              <w:rPr>
                <w:rFonts w:ascii="仿宋_GB2312" w:hAnsi="宋体" w:eastAsia="仿宋_GB2312" w:cs="宋体"/>
                <w:kern w:val="0"/>
                <w:sz w:val="22"/>
                <w:szCs w:val="22"/>
              </w:rPr>
            </w:pPr>
          </w:p>
        </w:tc>
        <w:tc>
          <w:tcPr>
            <w:tcW w:w="1700" w:type="dxa"/>
            <w:tcBorders>
              <w:top w:val="single" w:color="auto" w:sz="4" w:space="0"/>
              <w:left w:val="single" w:color="auto" w:sz="4" w:space="0"/>
              <w:bottom w:val="single" w:color="auto" w:sz="4" w:space="0"/>
            </w:tcBorders>
            <w:noWrap/>
            <w:vAlign w:val="center"/>
          </w:tcPr>
          <w:p>
            <w:pPr>
              <w:jc w:val="right"/>
              <w:rPr>
                <w:rFonts w:ascii="仿宋_GB2312" w:hAnsi="宋体" w:eastAsia="仿宋_GB2312" w:cs="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en-US" w:eastAsia="zh-CN"/>
              </w:rPr>
              <w:t>30</w:t>
            </w:r>
          </w:p>
        </w:tc>
        <w:tc>
          <w:tcPr>
            <w:tcW w:w="15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right"/>
              <w:rPr>
                <w:rFonts w:ascii="仿宋_GB2312" w:hAnsi="宋体" w:eastAsia="仿宋_GB2312" w:cs="宋体"/>
                <w:kern w:val="0"/>
                <w:sz w:val="22"/>
                <w:szCs w:val="22"/>
              </w:rPr>
            </w:pPr>
            <w:r>
              <w:rPr>
                <w:rFonts w:hint="eastAsia" w:ascii="仿宋_GB2312" w:hAnsi="宋体" w:eastAsia="仿宋_GB2312" w:cs="宋体"/>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ascii="仿宋_GB2312" w:hAnsi="宋体" w:eastAsia="仿宋_GB2312" w:cs="宋体"/>
                <w:bCs/>
                <w:kern w:val="0"/>
                <w:sz w:val="22"/>
                <w:szCs w:val="22"/>
              </w:rPr>
            </w:pPr>
            <w:r>
              <w:rPr>
                <w:rFonts w:hint="eastAsia" w:ascii="仿宋_GB2312" w:hAnsi="宋体" w:eastAsia="仿宋_GB2312" w:cs="宋体"/>
                <w:bCs/>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60</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5,634.39</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4,585.46</w:t>
            </w:r>
          </w:p>
        </w:tc>
        <w:tc>
          <w:tcPr>
            <w:tcW w:w="1700" w:type="dxa"/>
            <w:tcBorders>
              <w:top w:val="single" w:color="auto" w:sz="4" w:space="0"/>
              <w:left w:val="single" w:color="auto" w:sz="4" w:space="0"/>
              <w:bottom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b/>
                <w:bCs/>
                <w:kern w:val="0"/>
                <w:sz w:val="22"/>
                <w:szCs w:val="22"/>
              </w:rPr>
            </w:pPr>
            <w:r>
              <w:rPr>
                <w:rFonts w:hint="eastAsia" w:ascii="宋体" w:hAnsi="宋体" w:eastAsia="宋体" w:cs="宋体"/>
                <w:i w:val="0"/>
                <w:color w:val="000000"/>
                <w:kern w:val="0"/>
                <w:sz w:val="22"/>
                <w:szCs w:val="22"/>
                <w:u w:val="none"/>
                <w:lang w:val="en-US" w:eastAsia="zh-CN" w:bidi="ar"/>
              </w:rPr>
              <w:t>1,048.93</w:t>
            </w:r>
          </w:p>
        </w:tc>
      </w:tr>
    </w:tbl>
    <w:p>
      <w:pPr>
        <w:ind w:firstLine="108" w:firstLineChars="50"/>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r>
        <w:rPr>
          <w:rFonts w:hint="eastAsia" w:ascii="仿宋_GB2312" w:hAnsi="宋体" w:eastAsia="仿宋_GB2312"/>
          <w:sz w:val="22"/>
          <w:szCs w:val="22"/>
        </w:rPr>
        <w:t>注：本表反映部门本年度一般公共预算财政拨款和政府性基金预算财政拨款的总收支和年末结转结余情况。</w:t>
      </w:r>
    </w:p>
    <w:p>
      <w:pPr>
        <w:jc w:val="center"/>
        <w:rPr>
          <w:rFonts w:ascii="方正小标宋简体" w:eastAsia="方正小标宋简体"/>
          <w:sz w:val="44"/>
          <w:szCs w:val="44"/>
        </w:rPr>
      </w:pPr>
      <w:r>
        <w:rPr>
          <w:rFonts w:hint="eastAsia" w:ascii="方正小标宋简体" w:eastAsia="方正小标宋简体"/>
          <w:sz w:val="44"/>
          <w:szCs w:val="44"/>
        </w:rPr>
        <w:t>一般公共预算财政拨款支出决算表</w:t>
      </w:r>
    </w:p>
    <w:p>
      <w:pPr>
        <w:spacing w:line="400" w:lineRule="exact"/>
        <w:jc w:val="right"/>
        <w:rPr>
          <w:rFonts w:ascii="楷体_GB2312" w:eastAsia="楷体_GB2312"/>
          <w:sz w:val="28"/>
          <w:szCs w:val="28"/>
        </w:rPr>
      </w:pPr>
      <w:r>
        <w:rPr>
          <w:rFonts w:hint="eastAsia" w:ascii="楷体_GB2312" w:eastAsia="楷体_GB2312"/>
          <w:sz w:val="28"/>
          <w:szCs w:val="28"/>
        </w:rPr>
        <w:t>公开05表</w:t>
      </w:r>
    </w:p>
    <w:p>
      <w:pPr>
        <w:wordWrap w:val="0"/>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威海市文登区张家产镇人民政府</w:t>
      </w:r>
      <w:r>
        <w:rPr>
          <w:rFonts w:hint="eastAsia" w:ascii="楷体_GB2312" w:eastAsia="楷体_GB2312"/>
          <w:sz w:val="28"/>
          <w:szCs w:val="28"/>
        </w:rPr>
        <w:t>（本级）                                           单位：万元</w:t>
      </w:r>
    </w:p>
    <w:tbl>
      <w:tblPr>
        <w:tblStyle w:val="4"/>
        <w:tblW w:w="13152" w:type="dxa"/>
        <w:jc w:val="center"/>
        <w:tblLayout w:type="fixed"/>
        <w:tblCellMar>
          <w:top w:w="0" w:type="dxa"/>
          <w:left w:w="108" w:type="dxa"/>
          <w:bottom w:w="0" w:type="dxa"/>
          <w:right w:w="108" w:type="dxa"/>
        </w:tblCellMar>
      </w:tblPr>
      <w:tblGrid>
        <w:gridCol w:w="1701"/>
        <w:gridCol w:w="3170"/>
        <w:gridCol w:w="2783"/>
        <w:gridCol w:w="2978"/>
        <w:gridCol w:w="2520"/>
      </w:tblGrid>
      <w:tr>
        <w:tblPrEx>
          <w:tblCellMar>
            <w:top w:w="0" w:type="dxa"/>
            <w:left w:w="108" w:type="dxa"/>
            <w:bottom w:w="0" w:type="dxa"/>
            <w:right w:w="108" w:type="dxa"/>
          </w:tblCellMar>
        </w:tblPrEx>
        <w:trPr>
          <w:trHeight w:val="428" w:hRule="atLeas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828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w:t>
            </w:r>
          </w:p>
        </w:tc>
      </w:tr>
      <w:tr>
        <w:tblPrEx>
          <w:tblCellMar>
            <w:top w:w="0" w:type="dxa"/>
            <w:left w:w="108" w:type="dxa"/>
            <w:bottom w:w="0" w:type="dxa"/>
            <w:right w:w="108" w:type="dxa"/>
          </w:tblCellMar>
        </w:tblPrEx>
        <w:trPr>
          <w:trHeight w:val="675" w:hRule="exact"/>
          <w:jc w:val="center"/>
        </w:trPr>
        <w:tc>
          <w:tcPr>
            <w:tcW w:w="1701"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w:t>
            </w:r>
          </w:p>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科目编码</w:t>
            </w:r>
          </w:p>
        </w:tc>
        <w:tc>
          <w:tcPr>
            <w:tcW w:w="3170"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2783"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297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2520"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r>
      <w:tr>
        <w:tblPrEx>
          <w:tblCellMar>
            <w:top w:w="0" w:type="dxa"/>
            <w:left w:w="108" w:type="dxa"/>
            <w:bottom w:w="0" w:type="dxa"/>
            <w:right w:w="108" w:type="dxa"/>
          </w:tblCellMar>
        </w:tblPrEx>
        <w:trPr>
          <w:trHeight w:val="454" w:hRule="exac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2783"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2978"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2520"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r>
      <w:tr>
        <w:tblPrEx>
          <w:tblCellMar>
            <w:top w:w="0" w:type="dxa"/>
            <w:left w:w="108" w:type="dxa"/>
            <w:bottom w:w="0" w:type="dxa"/>
            <w:right w:w="108" w:type="dxa"/>
          </w:tblCellMar>
        </w:tblPrEx>
        <w:trPr>
          <w:trHeight w:val="454" w:hRule="exac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4,585.46</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1,146.43</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3,439.03</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一般公共服务支出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711.30</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693.30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18.00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20103</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2010301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599.82</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财政事务</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103.47</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93.47</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2010699</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其他财政事务支出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20132</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组织事务</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2013299</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其他组织事务支出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社会保障和就业支出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156.07</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117.92</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38.15</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人力资源和社会保障管理事务</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2080101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33.15</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行政事业单位离退休</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2080505</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59.23</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抚恤</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52.16</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死亡抚恤</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23.47</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2080899</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其他优抚支出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28.68</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其他社会保障和就业支出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2.06</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9.47</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2089901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其他社会保障和就业支出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11.53</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2.06</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9.47</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61.17</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卫生健康管理事务</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2100101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27.12</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行政事业单位医疗</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34.05</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34.05</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行政单位医疗</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15.68</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15.68</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2101102</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事业单位医疗</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11.71</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11.71</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2101103</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公务员医疗补助</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6.66</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6.66</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2,175.78</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2,128.14</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城乡社区管理事务</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1,673.14</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47.64</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2120199</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其他城乡社区管理事务支出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1,625.50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21203</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城乡社区公共设施</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2120303</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小城镇基础设施建设</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21299</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其他城乡社区支出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2129901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2129901</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252.64</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农林水支出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1,097.94</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农业</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2130101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行政运行</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145.51</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农村综合改革</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952.43</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对村级一事一议的补助</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196.80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196.80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2130705</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对村民委员会和村党支部的补助</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755.64</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755.64</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交通运输支出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hint="eastAsia"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公路水路运输</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297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2140104</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公路建设</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住房保障支出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83.20</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保障性安居工程支出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2210103</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棚户区改造</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2.30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22102</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住房改革支出</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2210201</w:t>
            </w:r>
          </w:p>
        </w:tc>
        <w:tc>
          <w:tcPr>
            <w:tcW w:w="317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住房公积金</w:t>
            </w:r>
          </w:p>
        </w:tc>
        <w:tc>
          <w:tcPr>
            <w:tcW w:w="2783"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297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80.90</w:t>
            </w:r>
          </w:p>
        </w:tc>
        <w:tc>
          <w:tcPr>
            <w:tcW w:w="2520"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bl>
    <w:p>
      <w:pPr>
        <w:spacing w:line="400" w:lineRule="exact"/>
        <w:ind w:firstLine="108" w:firstLineChars="50"/>
        <w:jc w:val="left"/>
        <w:rPr>
          <w:rFonts w:ascii="仿宋_GB2312" w:hAnsi="宋体" w:eastAsia="仿宋_GB2312"/>
          <w:sz w:val="22"/>
          <w:szCs w:val="22"/>
        </w:rPr>
      </w:pPr>
      <w:r>
        <w:rPr>
          <w:rFonts w:hint="eastAsia" w:ascii="仿宋_GB2312" w:hAnsi="宋体" w:eastAsia="仿宋_GB2312"/>
          <w:sz w:val="22"/>
          <w:szCs w:val="22"/>
        </w:rPr>
        <w:t>注：本表反映部门本年度一般公共预算财政拨款支出情况。</w:t>
      </w:r>
    </w:p>
    <w:p>
      <w:pPr>
        <w:spacing w:line="400" w:lineRule="exact"/>
        <w:jc w:val="left"/>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p>
    <w:p>
      <w:pPr>
        <w:jc w:val="center"/>
        <w:rPr>
          <w:rFonts w:ascii="方正小标宋简体" w:eastAsia="方正小标宋简体"/>
          <w:sz w:val="44"/>
          <w:szCs w:val="44"/>
        </w:rPr>
      </w:pPr>
      <w:r>
        <w:rPr>
          <w:rFonts w:hint="eastAsia" w:ascii="方正小标宋简体" w:eastAsia="方正小标宋简体"/>
          <w:sz w:val="44"/>
          <w:szCs w:val="44"/>
        </w:rPr>
        <w:t>一般公共预算财政拨款基本支出决算表</w:t>
      </w:r>
    </w:p>
    <w:p>
      <w:pPr>
        <w:spacing w:line="400" w:lineRule="exact"/>
        <w:jc w:val="right"/>
        <w:rPr>
          <w:rFonts w:ascii="楷体_GB2312" w:eastAsia="楷体_GB2312"/>
          <w:sz w:val="28"/>
          <w:szCs w:val="28"/>
        </w:rPr>
      </w:pPr>
      <w:r>
        <w:rPr>
          <w:rFonts w:hint="eastAsia" w:ascii="楷体_GB2312" w:eastAsia="楷体_GB2312"/>
          <w:sz w:val="28"/>
          <w:szCs w:val="28"/>
        </w:rPr>
        <w:t>公开06表</w:t>
      </w:r>
    </w:p>
    <w:p>
      <w:pPr>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威海市文登区张家产镇人民政府</w:t>
      </w:r>
      <w:r>
        <w:rPr>
          <w:rFonts w:hint="eastAsia" w:ascii="楷体_GB2312" w:eastAsia="楷体_GB2312"/>
          <w:sz w:val="28"/>
          <w:szCs w:val="28"/>
        </w:rPr>
        <w:t>（本级）                                           单位：万元</w:t>
      </w:r>
    </w:p>
    <w:tbl>
      <w:tblPr>
        <w:tblStyle w:val="4"/>
        <w:tblW w:w="13275" w:type="dxa"/>
        <w:jc w:val="center"/>
        <w:tblLayout w:type="fixed"/>
        <w:tblCellMar>
          <w:top w:w="0" w:type="dxa"/>
          <w:left w:w="108" w:type="dxa"/>
          <w:bottom w:w="0" w:type="dxa"/>
          <w:right w:w="108" w:type="dxa"/>
        </w:tblCellMar>
      </w:tblPr>
      <w:tblGrid>
        <w:gridCol w:w="1008"/>
        <w:gridCol w:w="3023"/>
        <w:gridCol w:w="957"/>
        <w:gridCol w:w="1028"/>
        <w:gridCol w:w="1984"/>
        <w:gridCol w:w="833"/>
        <w:gridCol w:w="1010"/>
        <w:gridCol w:w="2551"/>
        <w:gridCol w:w="881"/>
      </w:tblGrid>
      <w:tr>
        <w:tblPrEx>
          <w:tblCellMar>
            <w:top w:w="0" w:type="dxa"/>
            <w:left w:w="108" w:type="dxa"/>
            <w:bottom w:w="0" w:type="dxa"/>
            <w:right w:w="108" w:type="dxa"/>
          </w:tblCellMar>
        </w:tblPrEx>
        <w:trPr>
          <w:trHeight w:val="369" w:hRule="atLeast"/>
          <w:tblHeader/>
          <w:jc w:val="center"/>
        </w:trPr>
        <w:tc>
          <w:tcPr>
            <w:tcW w:w="4988" w:type="dxa"/>
            <w:gridSpan w:val="3"/>
            <w:tcBorders>
              <w:top w:val="single" w:color="auto" w:sz="8" w:space="0"/>
              <w:left w:val="single" w:color="auto" w:sz="8"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人员经费</w:t>
            </w:r>
          </w:p>
        </w:tc>
        <w:tc>
          <w:tcPr>
            <w:tcW w:w="8287" w:type="dxa"/>
            <w:gridSpan w:val="6"/>
            <w:tcBorders>
              <w:top w:val="single" w:color="auto" w:sz="8" w:space="0"/>
              <w:left w:val="nil"/>
              <w:bottom w:val="single" w:color="auto" w:sz="4" w:space="0"/>
              <w:right w:val="single" w:color="000000" w:sz="8"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公用经费</w:t>
            </w:r>
          </w:p>
        </w:tc>
      </w:tr>
      <w:tr>
        <w:tblPrEx>
          <w:tblCellMar>
            <w:top w:w="0" w:type="dxa"/>
            <w:left w:w="108" w:type="dxa"/>
            <w:bottom w:w="0" w:type="dxa"/>
            <w:right w:w="108" w:type="dxa"/>
          </w:tblCellMar>
        </w:tblPrEx>
        <w:trPr>
          <w:trHeight w:val="300" w:hRule="atLeast"/>
          <w:tblHeader/>
          <w:jc w:val="center"/>
        </w:trPr>
        <w:tc>
          <w:tcPr>
            <w:tcW w:w="1008" w:type="dxa"/>
            <w:vMerge w:val="restart"/>
            <w:tcBorders>
              <w:top w:val="nil"/>
              <w:left w:val="single" w:color="auto" w:sz="8"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 科目编码</w:t>
            </w:r>
          </w:p>
        </w:tc>
        <w:tc>
          <w:tcPr>
            <w:tcW w:w="3023"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957"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c>
          <w:tcPr>
            <w:tcW w:w="1028"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经济分类科目编码</w:t>
            </w:r>
          </w:p>
        </w:tc>
        <w:tc>
          <w:tcPr>
            <w:tcW w:w="1984"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33"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c>
          <w:tcPr>
            <w:tcW w:w="1010"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经济分类科目编码</w:t>
            </w:r>
          </w:p>
        </w:tc>
        <w:tc>
          <w:tcPr>
            <w:tcW w:w="2551"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科目名称</w:t>
            </w:r>
          </w:p>
        </w:tc>
        <w:tc>
          <w:tcPr>
            <w:tcW w:w="881" w:type="dxa"/>
            <w:vMerge w:val="restart"/>
            <w:tcBorders>
              <w:top w:val="nil"/>
              <w:left w:val="single" w:color="auto" w:sz="4" w:space="0"/>
              <w:bottom w:val="single" w:color="auto" w:sz="4" w:space="0"/>
              <w:right w:val="single" w:color="auto" w:sz="8"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决算数</w:t>
            </w:r>
          </w:p>
        </w:tc>
      </w:tr>
      <w:tr>
        <w:tblPrEx>
          <w:tblCellMar>
            <w:top w:w="0" w:type="dxa"/>
            <w:left w:w="108" w:type="dxa"/>
            <w:bottom w:w="0" w:type="dxa"/>
            <w:right w:w="108" w:type="dxa"/>
          </w:tblCellMar>
        </w:tblPrEx>
        <w:trPr>
          <w:trHeight w:val="300" w:hRule="atLeast"/>
          <w:tblHeader/>
          <w:jc w:val="center"/>
        </w:trPr>
        <w:tc>
          <w:tcPr>
            <w:tcW w:w="1008" w:type="dxa"/>
            <w:vMerge w:val="continue"/>
            <w:tcBorders>
              <w:top w:val="nil"/>
              <w:left w:val="single" w:color="auto" w:sz="8"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3023"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957"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1028"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1984"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833"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1010"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2551"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ascii="仿宋_GB2312" w:hAnsi="宋体" w:eastAsia="仿宋_GB2312" w:cs="宋体"/>
                <w:color w:val="000000"/>
                <w:kern w:val="0"/>
                <w:sz w:val="22"/>
                <w:szCs w:val="22"/>
              </w:rPr>
            </w:pPr>
          </w:p>
        </w:tc>
        <w:tc>
          <w:tcPr>
            <w:tcW w:w="881" w:type="dxa"/>
            <w:vMerge w:val="continue"/>
            <w:tcBorders>
              <w:top w:val="nil"/>
              <w:left w:val="single" w:color="auto" w:sz="4" w:space="0"/>
              <w:bottom w:val="single" w:color="auto" w:sz="4" w:space="0"/>
              <w:right w:val="single" w:color="auto" w:sz="8" w:space="0"/>
            </w:tcBorders>
            <w:noWrap/>
            <w:vAlign w:val="center"/>
          </w:tcPr>
          <w:p>
            <w:pPr>
              <w:widowControl/>
              <w:spacing w:line="300" w:lineRule="exact"/>
              <w:jc w:val="left"/>
              <w:rPr>
                <w:rFonts w:ascii="仿宋_GB2312" w:hAnsi="宋体" w:eastAsia="仿宋_GB2312" w:cs="宋体"/>
                <w:color w:val="000000"/>
                <w:kern w:val="0"/>
                <w:sz w:val="22"/>
                <w:szCs w:val="22"/>
              </w:rPr>
            </w:pP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工资福利支出</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981.67</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商品和服务支出</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债务利息及费用支出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ascii="仿宋_GB2312" w:hAnsi="宋体" w:eastAsia="仿宋_GB2312" w:cs="宋体"/>
                <w:color w:val="000000"/>
                <w:kern w:val="0"/>
                <w:sz w:val="20"/>
                <w:szCs w:val="20"/>
              </w:rPr>
            </w:pP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基本工资</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262.96</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30201</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办公费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国内债务付息</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ascii="仿宋_GB2312" w:hAnsi="宋体" w:eastAsia="仿宋_GB2312" w:cs="宋体"/>
                <w:color w:val="000000"/>
                <w:kern w:val="0"/>
                <w:sz w:val="20"/>
                <w:szCs w:val="20"/>
              </w:rPr>
            </w:pP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30102</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津贴补贴</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355.88</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30202</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印刷费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国外债务付息</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ascii="仿宋_GB2312" w:hAnsi="宋体" w:eastAsia="仿宋_GB2312" w:cs="宋体"/>
                <w:color w:val="000000"/>
                <w:kern w:val="0"/>
                <w:sz w:val="20"/>
                <w:szCs w:val="20"/>
              </w:rPr>
            </w:pP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奖金</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98.27</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30203</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咨询费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国内债务发行费用</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30106</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伙食补助费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30204</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手续费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30704</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国外债务发行费用</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30107</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绩效工资</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88.33</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30205</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水费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资本性支出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30108</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机关事业单位基本养老保险缴费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59.23</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30206</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电费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50.61</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房屋建筑物购建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30109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职业年金缴费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30207</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邮电费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4.60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办公设备购置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30110</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职工基本医疗保险缴费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27.38</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30208</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取暖费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专用设备购置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公务员医疗补助缴费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6.66</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30209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物业管理费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31005</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基础设施建设</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30112</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其他社会保障缴费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2.06</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30211</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差旅费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31006</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大型修缮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住房公积金</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80.90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30212</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因公出国（境）费用</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2.40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31007</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信息网络及软件购置更新</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30114</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医疗费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30213</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维修(护)费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2.40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31008</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物资储备</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30199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其他工资福利支出</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30214</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租赁费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31009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土地补偿</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对个人和家庭的补助</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114.15</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30215</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会议费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10.79</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31010</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安置补助</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离休费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30216</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培训费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31011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地上附着物和青苗补偿</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30302</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退休费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30217</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公务接待费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拆迁补偿</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退职（役）费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30218</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专用材料费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公务用车购置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30304</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抚恤金</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23.47</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30224</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被装购置费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31019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其他交通工具购置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30305</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生活补助</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90.67</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30225</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专用燃料费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31021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文物和陈列品购置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30306</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救济费</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30226</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劳务费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31022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无形资产购置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30307</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医疗费补助</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30227</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委托业务费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31099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其他资本性支出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30308</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助学金</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30228</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工会经费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对企业补助</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30309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奖励金</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30229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福利费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1.52</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资本金注入</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30310</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个人农业生产补贴</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30231</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公务用车运行维护费</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12.00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政府投资基金股权投资</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30399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其他对个人和家庭的补助</w:t>
            </w: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30239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其他交通费用</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31204</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费用补贴</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30240</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税金及附加费用</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31205</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利息补贴</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957"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30299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其他商品和服务支出</w:t>
            </w:r>
          </w:p>
        </w:tc>
        <w:tc>
          <w:tcPr>
            <w:tcW w:w="833" w:type="dxa"/>
            <w:tcBorders>
              <w:top w:val="nil"/>
              <w:left w:val="nil"/>
              <w:bottom w:val="single" w:color="auto" w:sz="4" w:space="0"/>
              <w:right w:val="single" w:color="auto" w:sz="4"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31299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其他对企业补助</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957"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957"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39906</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赠与</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957"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39907</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国家赔偿费用支出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957"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39908</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对民间非营利组织和群众性自治组织补贴</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957"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28"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ascii="仿宋_GB2312" w:hAnsi="宋体" w:eastAsia="仿宋_GB2312" w:cs="宋体"/>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39999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0.00</w:t>
            </w:r>
          </w:p>
        </w:tc>
      </w:tr>
      <w:tr>
        <w:tblPrEx>
          <w:tblCellMar>
            <w:top w:w="0" w:type="dxa"/>
            <w:left w:w="108" w:type="dxa"/>
            <w:bottom w:w="0" w:type="dxa"/>
            <w:right w:w="108" w:type="dxa"/>
          </w:tblCellMar>
        </w:tblPrEx>
        <w:trPr>
          <w:trHeight w:val="20" w:hRule="atLeast"/>
          <w:jc w:val="center"/>
        </w:trPr>
        <w:tc>
          <w:tcPr>
            <w:tcW w:w="4031" w:type="dxa"/>
            <w:gridSpan w:val="2"/>
            <w:tcBorders>
              <w:top w:val="single" w:color="auto" w:sz="4" w:space="0"/>
              <w:left w:val="single" w:color="auto" w:sz="8" w:space="0"/>
              <w:bottom w:val="single" w:color="auto" w:sz="8"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人员经费合计</w:t>
            </w:r>
          </w:p>
        </w:tc>
        <w:tc>
          <w:tcPr>
            <w:tcW w:w="957" w:type="dxa"/>
            <w:tcBorders>
              <w:top w:val="nil"/>
              <w:left w:val="nil"/>
              <w:bottom w:val="single" w:color="auto" w:sz="8" w:space="0"/>
              <w:right w:val="single" w:color="auto" w:sz="4" w:space="0"/>
            </w:tcBorders>
            <w:noWrap/>
            <w:vAlign w:val="center"/>
          </w:tcPr>
          <w:p>
            <w:pPr>
              <w:widowControl/>
              <w:spacing w:line="300" w:lineRule="exact"/>
              <w:jc w:val="center"/>
              <w:rPr>
                <w:rFonts w:hint="default"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1095.82</w:t>
            </w:r>
          </w:p>
        </w:tc>
        <w:tc>
          <w:tcPr>
            <w:tcW w:w="7406" w:type="dxa"/>
            <w:gridSpan w:val="5"/>
            <w:tcBorders>
              <w:top w:val="single" w:color="auto" w:sz="4" w:space="0"/>
              <w:left w:val="nil"/>
              <w:bottom w:val="single" w:color="auto" w:sz="8" w:space="0"/>
              <w:right w:val="single" w:color="auto" w:sz="4" w:space="0"/>
            </w:tcBorders>
            <w:noWrap/>
            <w:vAlign w:val="center"/>
          </w:tcPr>
          <w:p>
            <w:pPr>
              <w:widowControl/>
              <w:spacing w:line="300" w:lineRule="exact"/>
              <w:jc w:val="center"/>
              <w:rPr>
                <w:rFonts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公用经费合计</w:t>
            </w:r>
          </w:p>
        </w:tc>
        <w:tc>
          <w:tcPr>
            <w:tcW w:w="881" w:type="dxa"/>
            <w:tcBorders>
              <w:top w:val="nil"/>
              <w:left w:val="nil"/>
              <w:bottom w:val="single" w:color="auto" w:sz="8" w:space="0"/>
              <w:right w:val="single" w:color="auto" w:sz="8" w:space="0"/>
            </w:tcBorders>
            <w:noWrap/>
            <w:vAlign w:val="center"/>
          </w:tcPr>
          <w:p>
            <w:pPr>
              <w:widowControl/>
              <w:spacing w:line="300" w:lineRule="exact"/>
              <w:jc w:val="center"/>
              <w:rPr>
                <w:rFonts w:hint="eastAsia" w:ascii="仿宋_GB2312" w:hAnsi="宋体" w:eastAsia="仿宋_GB2312" w:cs="宋体"/>
                <w:color w:val="000000"/>
                <w:kern w:val="0"/>
                <w:sz w:val="20"/>
                <w:szCs w:val="20"/>
                <w:lang w:val="en-US" w:eastAsia="zh-CN"/>
              </w:rPr>
            </w:pPr>
            <w:r>
              <w:rPr>
                <w:rFonts w:hint="eastAsia" w:ascii="仿宋_GB2312" w:hAnsi="宋体" w:eastAsia="仿宋_GB2312" w:cs="宋体"/>
                <w:color w:val="000000"/>
                <w:kern w:val="0"/>
                <w:sz w:val="20"/>
                <w:szCs w:val="20"/>
                <w:lang w:val="en-US" w:eastAsia="zh-CN"/>
              </w:rPr>
              <w:t>50.61</w:t>
            </w:r>
          </w:p>
        </w:tc>
      </w:tr>
    </w:tbl>
    <w:p>
      <w:pPr>
        <w:spacing w:line="400" w:lineRule="exact"/>
        <w:ind w:firstLine="108" w:firstLineChars="50"/>
        <w:jc w:val="left"/>
        <w:rPr>
          <w:rFonts w:ascii="仿宋_GB2312" w:hAnsi="宋体" w:eastAsia="仿宋_GB2312"/>
          <w:sz w:val="22"/>
          <w:szCs w:val="22"/>
        </w:rPr>
      </w:pPr>
      <w:r>
        <w:rPr>
          <w:rFonts w:hint="eastAsia" w:ascii="仿宋_GB2312" w:hAnsi="宋体" w:eastAsia="仿宋_GB2312"/>
          <w:sz w:val="22"/>
          <w:szCs w:val="22"/>
        </w:rPr>
        <w:t>注:本表反映部门本年度一般公共预算财政拨款基本支出明细情况。</w:t>
      </w:r>
    </w:p>
    <w:p>
      <w:pPr>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p>
    <w:p>
      <w:pPr>
        <w:jc w:val="center"/>
        <w:rPr>
          <w:rFonts w:ascii="方正小标宋简体" w:eastAsia="方正小标宋简体"/>
          <w:sz w:val="44"/>
          <w:szCs w:val="44"/>
        </w:rPr>
      </w:pPr>
      <w:r>
        <w:rPr>
          <w:rFonts w:hint="eastAsia" w:ascii="方正小标宋简体" w:eastAsia="方正小标宋简体"/>
          <w:sz w:val="44"/>
          <w:szCs w:val="44"/>
        </w:rPr>
        <w:t>一般公共预算财政拨款“三公”经费支出决算表</w:t>
      </w:r>
    </w:p>
    <w:p>
      <w:pPr>
        <w:wordWrap w:val="0"/>
        <w:spacing w:line="400" w:lineRule="exact"/>
        <w:jc w:val="right"/>
        <w:rPr>
          <w:rFonts w:ascii="楷体_GB2312" w:eastAsia="楷体_GB2312"/>
          <w:sz w:val="28"/>
          <w:szCs w:val="28"/>
        </w:rPr>
      </w:pPr>
      <w:r>
        <w:rPr>
          <w:rFonts w:hint="eastAsia" w:ascii="方正小标宋简体" w:eastAsia="方正小标宋简体"/>
          <w:sz w:val="44"/>
          <w:szCs w:val="44"/>
        </w:rPr>
        <w:t>　</w:t>
      </w:r>
      <w:r>
        <w:rPr>
          <w:rFonts w:hint="eastAsia" w:ascii="楷体_GB2312" w:eastAsia="楷体_GB2312"/>
          <w:sz w:val="28"/>
          <w:szCs w:val="28"/>
        </w:rPr>
        <w:t>公开07表</w:t>
      </w:r>
    </w:p>
    <w:p>
      <w:pPr>
        <w:spacing w:line="400" w:lineRule="exact"/>
        <w:ind w:firstLine="276" w:firstLineChars="100"/>
        <w:jc w:val="both"/>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威海市文登区张家产镇人民政府</w:t>
      </w:r>
      <w:r>
        <w:rPr>
          <w:rFonts w:hint="eastAsia" w:ascii="楷体_GB2312" w:eastAsia="楷体_GB2312"/>
          <w:sz w:val="28"/>
          <w:szCs w:val="28"/>
        </w:rPr>
        <w:t xml:space="preserve">（本级）                               </w:t>
      </w:r>
      <w:r>
        <w:rPr>
          <w:rFonts w:hint="eastAsia" w:ascii="楷体_GB2312" w:eastAsia="楷体_GB2312"/>
          <w:sz w:val="28"/>
          <w:szCs w:val="28"/>
          <w:lang w:val="en-US" w:eastAsia="zh-CN"/>
        </w:rPr>
        <w:t xml:space="preserve">   </w:t>
      </w:r>
      <w:r>
        <w:rPr>
          <w:rFonts w:hint="eastAsia" w:ascii="楷体_GB2312" w:eastAsia="楷体_GB2312"/>
          <w:sz w:val="28"/>
          <w:szCs w:val="28"/>
        </w:rPr>
        <w:t xml:space="preserve">   </w:t>
      </w:r>
      <w:r>
        <w:rPr>
          <w:rFonts w:hint="eastAsia" w:ascii="楷体_GB2312" w:eastAsia="楷体_GB2312"/>
          <w:sz w:val="28"/>
          <w:szCs w:val="28"/>
          <w:lang w:val="en-US" w:eastAsia="zh-CN"/>
        </w:rPr>
        <w:t xml:space="preserve">    </w:t>
      </w:r>
      <w:r>
        <w:rPr>
          <w:rFonts w:hint="eastAsia" w:ascii="楷体_GB2312" w:eastAsia="楷体_GB2312"/>
          <w:sz w:val="28"/>
          <w:szCs w:val="28"/>
        </w:rPr>
        <w:t xml:space="preserve">  单位：万元</w:t>
      </w:r>
    </w:p>
    <w:tbl>
      <w:tblPr>
        <w:tblStyle w:val="4"/>
        <w:tblW w:w="13256" w:type="dxa"/>
        <w:jc w:val="center"/>
        <w:tblLayout w:type="fixed"/>
        <w:tblCellMar>
          <w:top w:w="0" w:type="dxa"/>
          <w:left w:w="108" w:type="dxa"/>
          <w:bottom w:w="0" w:type="dxa"/>
          <w:right w:w="108" w:type="dxa"/>
        </w:tblCellMar>
      </w:tblPr>
      <w:tblGrid>
        <w:gridCol w:w="1179"/>
        <w:gridCol w:w="1195"/>
        <w:gridCol w:w="1180"/>
        <w:gridCol w:w="1180"/>
        <w:gridCol w:w="1188"/>
        <w:gridCol w:w="962"/>
        <w:gridCol w:w="1098"/>
        <w:gridCol w:w="1143"/>
        <w:gridCol w:w="851"/>
        <w:gridCol w:w="1132"/>
        <w:gridCol w:w="1164"/>
        <w:gridCol w:w="984"/>
      </w:tblGrid>
      <w:tr>
        <w:tblPrEx>
          <w:tblCellMar>
            <w:top w:w="0" w:type="dxa"/>
            <w:left w:w="108" w:type="dxa"/>
            <w:bottom w:w="0" w:type="dxa"/>
            <w:right w:w="108" w:type="dxa"/>
          </w:tblCellMar>
        </w:tblPrEx>
        <w:trPr>
          <w:trHeight w:val="862" w:hRule="atLeast"/>
          <w:jc w:val="center"/>
        </w:trPr>
        <w:tc>
          <w:tcPr>
            <w:tcW w:w="6884" w:type="dxa"/>
            <w:gridSpan w:val="6"/>
            <w:tcBorders>
              <w:top w:val="single" w:color="auto" w:sz="8" w:space="0"/>
              <w:left w:val="single" w:color="auto" w:sz="8" w:space="0"/>
              <w:bottom w:val="single" w:color="auto" w:sz="4" w:space="0"/>
              <w:right w:val="single" w:color="000000" w:sz="8"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预 算 数</w:t>
            </w:r>
          </w:p>
        </w:tc>
        <w:tc>
          <w:tcPr>
            <w:tcW w:w="6372" w:type="dxa"/>
            <w:gridSpan w:val="6"/>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决 算 数　</w:t>
            </w:r>
          </w:p>
        </w:tc>
      </w:tr>
      <w:tr>
        <w:tblPrEx>
          <w:tblCellMar>
            <w:top w:w="0" w:type="dxa"/>
            <w:left w:w="108" w:type="dxa"/>
            <w:bottom w:w="0" w:type="dxa"/>
            <w:right w:w="108" w:type="dxa"/>
          </w:tblCellMar>
        </w:tblPrEx>
        <w:trPr>
          <w:trHeight w:val="862" w:hRule="atLeast"/>
          <w:jc w:val="center"/>
        </w:trPr>
        <w:tc>
          <w:tcPr>
            <w:tcW w:w="1179" w:type="dxa"/>
            <w:vMerge w:val="restart"/>
            <w:tcBorders>
              <w:top w:val="nil"/>
              <w:left w:val="single" w:color="auto" w:sz="8" w:space="0"/>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195"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因公出国（境）费</w:t>
            </w:r>
          </w:p>
        </w:tc>
        <w:tc>
          <w:tcPr>
            <w:tcW w:w="3548" w:type="dxa"/>
            <w:gridSpan w:val="3"/>
            <w:tcBorders>
              <w:top w:val="single" w:color="auto" w:sz="4" w:space="0"/>
              <w:left w:val="nil"/>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公务用车购置及运行费</w:t>
            </w:r>
          </w:p>
        </w:tc>
        <w:tc>
          <w:tcPr>
            <w:tcW w:w="962" w:type="dxa"/>
            <w:vMerge w:val="restart"/>
            <w:tcBorders>
              <w:top w:val="nil"/>
              <w:left w:val="single" w:color="auto" w:sz="4" w:space="0"/>
              <w:bottom w:val="single" w:color="auto" w:sz="4" w:space="0"/>
              <w:right w:val="single" w:color="000000" w:sz="8"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w:t>
            </w:r>
          </w:p>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接待费</w:t>
            </w:r>
          </w:p>
        </w:tc>
        <w:tc>
          <w:tcPr>
            <w:tcW w:w="1098"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合计</w:t>
            </w:r>
          </w:p>
        </w:tc>
        <w:tc>
          <w:tcPr>
            <w:tcW w:w="1143"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因公出国（境）费</w:t>
            </w:r>
          </w:p>
        </w:tc>
        <w:tc>
          <w:tcPr>
            <w:tcW w:w="3147" w:type="dxa"/>
            <w:gridSpan w:val="3"/>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公务用车购置及运行费</w:t>
            </w:r>
          </w:p>
        </w:tc>
        <w:tc>
          <w:tcPr>
            <w:tcW w:w="984" w:type="dxa"/>
            <w:vMerge w:val="restart"/>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w:t>
            </w:r>
          </w:p>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接待费</w:t>
            </w:r>
          </w:p>
        </w:tc>
      </w:tr>
      <w:tr>
        <w:tblPrEx>
          <w:tblCellMar>
            <w:top w:w="0" w:type="dxa"/>
            <w:left w:w="108" w:type="dxa"/>
            <w:bottom w:w="0" w:type="dxa"/>
            <w:right w:w="108" w:type="dxa"/>
          </w:tblCellMar>
        </w:tblPrEx>
        <w:trPr>
          <w:trHeight w:val="862" w:hRule="atLeast"/>
          <w:jc w:val="center"/>
        </w:trPr>
        <w:tc>
          <w:tcPr>
            <w:tcW w:w="1179" w:type="dxa"/>
            <w:vMerge w:val="continue"/>
            <w:tcBorders>
              <w:top w:val="nil"/>
              <w:left w:val="single" w:color="auto" w:sz="8" w:space="0"/>
              <w:bottom w:val="single" w:color="auto" w:sz="4" w:space="0"/>
              <w:right w:val="single" w:color="auto" w:sz="4" w:space="0"/>
            </w:tcBorders>
            <w:shd w:val="clear" w:color="auto" w:fill="auto"/>
            <w:noWrap/>
            <w:vAlign w:val="center"/>
          </w:tcPr>
          <w:p>
            <w:pPr>
              <w:widowControl/>
              <w:spacing w:line="300" w:lineRule="exact"/>
              <w:jc w:val="left"/>
              <w:rPr>
                <w:rFonts w:ascii="仿宋_GB2312" w:hAnsi="宋体" w:eastAsia="仿宋_GB2312" w:cs="宋体"/>
                <w:kern w:val="0"/>
                <w:sz w:val="22"/>
                <w:szCs w:val="22"/>
              </w:rPr>
            </w:pPr>
          </w:p>
        </w:tc>
        <w:tc>
          <w:tcPr>
            <w:tcW w:w="1195" w:type="dxa"/>
            <w:vMerge w:val="continue"/>
            <w:tcBorders>
              <w:top w:val="nil"/>
              <w:left w:val="single" w:color="auto" w:sz="4" w:space="0"/>
              <w:bottom w:val="single" w:color="auto" w:sz="4" w:space="0"/>
              <w:right w:val="single" w:color="auto" w:sz="4" w:space="0"/>
            </w:tcBorders>
            <w:shd w:val="clear" w:color="auto" w:fill="auto"/>
            <w:noWrap/>
            <w:vAlign w:val="center"/>
          </w:tcPr>
          <w:p>
            <w:pPr>
              <w:widowControl/>
              <w:spacing w:line="300" w:lineRule="exact"/>
              <w:jc w:val="left"/>
              <w:rPr>
                <w:rFonts w:ascii="仿宋_GB2312" w:hAnsi="宋体" w:eastAsia="仿宋_GB2312" w:cs="宋体"/>
                <w:kern w:val="0"/>
                <w:sz w:val="22"/>
                <w:szCs w:val="22"/>
              </w:rPr>
            </w:pPr>
          </w:p>
        </w:tc>
        <w:tc>
          <w:tcPr>
            <w:tcW w:w="1180" w:type="dxa"/>
            <w:tcBorders>
              <w:top w:val="nil"/>
              <w:left w:val="nil"/>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180" w:type="dxa"/>
            <w:tcBorders>
              <w:top w:val="nil"/>
              <w:left w:val="nil"/>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公务用车购置费</w:t>
            </w:r>
          </w:p>
        </w:tc>
        <w:tc>
          <w:tcPr>
            <w:tcW w:w="1188" w:type="dxa"/>
            <w:tcBorders>
              <w:top w:val="nil"/>
              <w:left w:val="nil"/>
              <w:bottom w:val="single" w:color="auto" w:sz="4"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公务用车运行费</w:t>
            </w:r>
          </w:p>
        </w:tc>
        <w:tc>
          <w:tcPr>
            <w:tcW w:w="962" w:type="dxa"/>
            <w:vMerge w:val="continue"/>
            <w:tcBorders>
              <w:top w:val="nil"/>
              <w:left w:val="single" w:color="auto" w:sz="4" w:space="0"/>
              <w:bottom w:val="single" w:color="auto" w:sz="4" w:space="0"/>
              <w:right w:val="single" w:color="000000" w:sz="8" w:space="0"/>
            </w:tcBorders>
            <w:shd w:val="clear" w:color="auto" w:fill="auto"/>
            <w:noWrap/>
            <w:vAlign w:val="center"/>
          </w:tcPr>
          <w:p>
            <w:pPr>
              <w:widowControl/>
              <w:spacing w:line="300" w:lineRule="exact"/>
              <w:jc w:val="left"/>
              <w:rPr>
                <w:rFonts w:ascii="仿宋_GB2312" w:hAnsi="宋体" w:eastAsia="仿宋_GB2312" w:cs="宋体"/>
                <w:kern w:val="0"/>
                <w:sz w:val="22"/>
                <w:szCs w:val="22"/>
              </w:rPr>
            </w:pPr>
          </w:p>
        </w:tc>
        <w:tc>
          <w:tcPr>
            <w:tcW w:w="1098"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pPr>
              <w:spacing w:line="300" w:lineRule="exact"/>
              <w:jc w:val="left"/>
              <w:rPr>
                <w:rFonts w:ascii="仿宋_GB2312" w:hAnsi="宋体" w:eastAsia="仿宋_GB2312" w:cs="宋体"/>
                <w:kern w:val="0"/>
                <w:sz w:val="22"/>
                <w:szCs w:val="22"/>
              </w:rPr>
            </w:pPr>
          </w:p>
        </w:tc>
        <w:tc>
          <w:tcPr>
            <w:tcW w:w="1143"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pPr>
              <w:spacing w:line="300" w:lineRule="exact"/>
              <w:jc w:val="left"/>
              <w:rPr>
                <w:rFonts w:ascii="仿宋_GB2312" w:hAnsi="宋体" w:eastAsia="仿宋_GB2312" w:cs="宋体"/>
                <w:kern w:val="0"/>
                <w:sz w:val="22"/>
                <w:szCs w:val="22"/>
              </w:rPr>
            </w:pPr>
          </w:p>
        </w:tc>
        <w:tc>
          <w:tcPr>
            <w:tcW w:w="851"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132"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公务用车购置费</w:t>
            </w:r>
          </w:p>
        </w:tc>
        <w:tc>
          <w:tcPr>
            <w:tcW w:w="116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公务用车运行费</w:t>
            </w:r>
          </w:p>
        </w:tc>
        <w:tc>
          <w:tcPr>
            <w:tcW w:w="984" w:type="dxa"/>
            <w:vMerge w:val="continue"/>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left"/>
              <w:rPr>
                <w:rFonts w:ascii="仿宋_GB2312" w:hAnsi="宋体" w:eastAsia="仿宋_GB2312" w:cs="宋体"/>
                <w:kern w:val="0"/>
                <w:sz w:val="22"/>
                <w:szCs w:val="22"/>
              </w:rPr>
            </w:pPr>
          </w:p>
        </w:tc>
      </w:tr>
      <w:tr>
        <w:tblPrEx>
          <w:tblCellMar>
            <w:top w:w="0" w:type="dxa"/>
            <w:left w:w="108" w:type="dxa"/>
            <w:bottom w:w="0" w:type="dxa"/>
            <w:right w:w="108" w:type="dxa"/>
          </w:tblCellMar>
        </w:tblPrEx>
        <w:trPr>
          <w:trHeight w:val="623" w:hRule="atLeast"/>
          <w:jc w:val="center"/>
        </w:trPr>
        <w:tc>
          <w:tcPr>
            <w:tcW w:w="1179" w:type="dxa"/>
            <w:tcBorders>
              <w:top w:val="nil"/>
              <w:left w:val="single" w:color="auto" w:sz="8" w:space="0"/>
              <w:bottom w:val="single" w:color="auto" w:sz="8"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195" w:type="dxa"/>
            <w:tcBorders>
              <w:top w:val="nil"/>
              <w:left w:val="nil"/>
              <w:bottom w:val="single" w:color="auto" w:sz="8"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180" w:type="dxa"/>
            <w:tcBorders>
              <w:top w:val="nil"/>
              <w:left w:val="nil"/>
              <w:bottom w:val="single" w:color="auto" w:sz="8"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180" w:type="dxa"/>
            <w:tcBorders>
              <w:top w:val="nil"/>
              <w:left w:val="nil"/>
              <w:bottom w:val="single" w:color="auto" w:sz="8"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188" w:type="dxa"/>
            <w:tcBorders>
              <w:top w:val="nil"/>
              <w:left w:val="nil"/>
              <w:bottom w:val="single" w:color="auto" w:sz="8" w:space="0"/>
              <w:right w:val="single" w:color="auto" w:sz="4"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962" w:type="dxa"/>
            <w:tcBorders>
              <w:top w:val="nil"/>
              <w:left w:val="nil"/>
              <w:bottom w:val="single" w:color="auto" w:sz="8" w:space="0"/>
              <w:right w:val="single" w:color="000000" w:sz="8" w:space="0"/>
            </w:tcBorders>
            <w:shd w:val="clear" w:color="auto" w:fill="auto"/>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7</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8</w:t>
            </w:r>
          </w:p>
        </w:tc>
        <w:tc>
          <w:tcPr>
            <w:tcW w:w="851"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9</w:t>
            </w:r>
          </w:p>
        </w:tc>
        <w:tc>
          <w:tcPr>
            <w:tcW w:w="1132"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10</w:t>
            </w:r>
          </w:p>
        </w:tc>
        <w:tc>
          <w:tcPr>
            <w:tcW w:w="116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11</w:t>
            </w:r>
          </w:p>
        </w:tc>
        <w:tc>
          <w:tcPr>
            <w:tcW w:w="98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12</w:t>
            </w:r>
          </w:p>
        </w:tc>
      </w:tr>
      <w:tr>
        <w:tblPrEx>
          <w:tblCellMar>
            <w:top w:w="0" w:type="dxa"/>
            <w:left w:w="108" w:type="dxa"/>
            <w:bottom w:w="0" w:type="dxa"/>
            <w:right w:w="108" w:type="dxa"/>
          </w:tblCellMar>
        </w:tblPrEx>
        <w:trPr>
          <w:trHeight w:val="1296" w:hRule="atLeast"/>
          <w:jc w:val="center"/>
        </w:trPr>
        <w:tc>
          <w:tcPr>
            <w:tcW w:w="1179" w:type="dxa"/>
            <w:tcBorders>
              <w:top w:val="nil"/>
              <w:left w:val="single" w:color="auto" w:sz="8" w:space="0"/>
              <w:bottom w:val="single" w:color="auto" w:sz="8" w:space="0"/>
              <w:right w:val="single" w:color="auto" w:sz="4"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15.60</w:t>
            </w:r>
          </w:p>
        </w:tc>
        <w:tc>
          <w:tcPr>
            <w:tcW w:w="1195" w:type="dxa"/>
            <w:tcBorders>
              <w:top w:val="nil"/>
              <w:left w:val="nil"/>
              <w:bottom w:val="single" w:color="auto" w:sz="8" w:space="0"/>
              <w:right w:val="single" w:color="auto" w:sz="4"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80" w:type="dxa"/>
            <w:tcBorders>
              <w:top w:val="nil"/>
              <w:left w:val="nil"/>
              <w:bottom w:val="single" w:color="auto" w:sz="8" w:space="0"/>
              <w:right w:val="single" w:color="auto" w:sz="4"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12.60</w:t>
            </w:r>
          </w:p>
        </w:tc>
        <w:tc>
          <w:tcPr>
            <w:tcW w:w="1180" w:type="dxa"/>
            <w:tcBorders>
              <w:top w:val="nil"/>
              <w:left w:val="nil"/>
              <w:bottom w:val="single" w:color="auto" w:sz="8" w:space="0"/>
              <w:right w:val="single" w:color="auto" w:sz="4"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88" w:type="dxa"/>
            <w:tcBorders>
              <w:top w:val="nil"/>
              <w:left w:val="nil"/>
              <w:bottom w:val="single" w:color="auto" w:sz="8" w:space="0"/>
              <w:right w:val="single" w:color="auto" w:sz="4"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12.60</w:t>
            </w:r>
          </w:p>
        </w:tc>
        <w:tc>
          <w:tcPr>
            <w:tcW w:w="962" w:type="dxa"/>
            <w:tcBorders>
              <w:top w:val="nil"/>
              <w:left w:val="nil"/>
              <w:bottom w:val="single" w:color="auto" w:sz="8" w:space="0"/>
              <w:right w:val="single" w:color="000000" w:sz="8" w:space="0"/>
            </w:tcBorders>
            <w:shd w:val="clear" w:color="auto" w:fill="auto"/>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12.12</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851"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12.00</w:t>
            </w:r>
          </w:p>
        </w:tc>
        <w:tc>
          <w:tcPr>
            <w:tcW w:w="1132"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164"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12.00</w:t>
            </w:r>
          </w:p>
        </w:tc>
        <w:tc>
          <w:tcPr>
            <w:tcW w:w="984"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0.12</w:t>
            </w:r>
          </w:p>
        </w:tc>
      </w:tr>
    </w:tbl>
    <w:p>
      <w:pPr>
        <w:spacing w:line="360" w:lineRule="exact"/>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注：本表反映部门本年度“三公”经费支出预决算情况。其中：预算数为“三公”经费年初预算数，决算数包括当年一般公共预算财政拨款</w:t>
      </w:r>
    </w:p>
    <w:p>
      <w:pPr>
        <w:spacing w:line="360" w:lineRule="exact"/>
        <w:ind w:firstLine="540" w:firstLineChars="250"/>
        <w:rPr>
          <w:rFonts w:ascii="仿宋_GB2312" w:hAnsi="宋体" w:eastAsia="仿宋_GB2312"/>
          <w:sz w:val="22"/>
          <w:szCs w:val="22"/>
        </w:rPr>
      </w:pPr>
      <w:r>
        <w:rPr>
          <w:rFonts w:hint="eastAsia" w:ascii="仿宋_GB2312" w:hAnsi="宋体" w:eastAsia="仿宋_GB2312"/>
          <w:sz w:val="22"/>
          <w:szCs w:val="22"/>
        </w:rPr>
        <w:t>和以前年度结转资金安排的实际支出。</w:t>
      </w:r>
    </w:p>
    <w:p>
      <w:pPr>
        <w:ind w:firstLine="108" w:firstLineChars="50"/>
        <w:rPr>
          <w:rFonts w:ascii="仿宋_GB2312" w:hAnsi="宋体" w:eastAsia="仿宋_GB2312"/>
          <w:sz w:val="22"/>
          <w:szCs w:val="22"/>
        </w:rPr>
      </w:pPr>
    </w:p>
    <w:p>
      <w:pPr>
        <w:ind w:firstLine="108" w:firstLineChars="50"/>
        <w:rPr>
          <w:rFonts w:ascii="仿宋_GB2312" w:hAnsi="宋体" w:eastAsia="仿宋_GB2312"/>
          <w:sz w:val="22"/>
          <w:szCs w:val="22"/>
        </w:rPr>
      </w:pPr>
    </w:p>
    <w:p>
      <w:pPr>
        <w:jc w:val="center"/>
        <w:rPr>
          <w:rFonts w:ascii="方正小标宋简体" w:eastAsia="方正小标宋简体"/>
          <w:sz w:val="44"/>
          <w:szCs w:val="44"/>
        </w:rPr>
      </w:pPr>
      <w:r>
        <w:rPr>
          <w:rFonts w:hint="eastAsia" w:ascii="方正小标宋简体" w:eastAsia="方正小标宋简体"/>
          <w:sz w:val="44"/>
          <w:szCs w:val="44"/>
        </w:rPr>
        <w:t>政府性基金预算财政拨款收入支出决算表</w:t>
      </w:r>
    </w:p>
    <w:p>
      <w:pPr>
        <w:spacing w:line="400" w:lineRule="exact"/>
        <w:jc w:val="right"/>
        <w:rPr>
          <w:rFonts w:ascii="楷体_GB2312" w:eastAsia="楷体_GB2312"/>
          <w:sz w:val="28"/>
          <w:szCs w:val="28"/>
        </w:rPr>
      </w:pPr>
      <w:r>
        <w:rPr>
          <w:rFonts w:hint="eastAsia" w:ascii="楷体_GB2312" w:eastAsia="楷体_GB2312"/>
          <w:sz w:val="28"/>
          <w:szCs w:val="28"/>
        </w:rPr>
        <w:t>公开08表</w:t>
      </w:r>
    </w:p>
    <w:p>
      <w:pPr>
        <w:spacing w:line="400" w:lineRule="exact"/>
        <w:ind w:firstLine="138" w:firstLineChars="50"/>
        <w:jc w:val="right"/>
        <w:rPr>
          <w:rFonts w:ascii="楷体_GB2312" w:eastAsia="楷体_GB2312"/>
          <w:sz w:val="28"/>
          <w:szCs w:val="28"/>
        </w:rPr>
      </w:pPr>
      <w:r>
        <w:rPr>
          <w:rFonts w:hint="eastAsia" w:ascii="楷体_GB2312" w:eastAsia="楷体_GB2312"/>
          <w:sz w:val="28"/>
          <w:szCs w:val="28"/>
        </w:rPr>
        <w:t>部门：</w:t>
      </w:r>
      <w:r>
        <w:rPr>
          <w:rFonts w:hint="eastAsia" w:ascii="楷体_GB2312" w:eastAsia="楷体_GB2312"/>
          <w:sz w:val="28"/>
          <w:szCs w:val="28"/>
          <w:lang w:eastAsia="zh-CN"/>
        </w:rPr>
        <w:t>威海市文登区张家产镇人民政府</w:t>
      </w:r>
      <w:r>
        <w:rPr>
          <w:rFonts w:hint="eastAsia" w:ascii="楷体_GB2312" w:eastAsia="楷体_GB2312"/>
          <w:sz w:val="28"/>
          <w:szCs w:val="28"/>
        </w:rPr>
        <w:t>（本级）                                           单位：万元</w:t>
      </w:r>
    </w:p>
    <w:tbl>
      <w:tblPr>
        <w:tblStyle w:val="4"/>
        <w:tblpPr w:leftFromText="180" w:rightFromText="180" w:vertAnchor="text" w:tblpXSpec="center" w:tblpY="1"/>
        <w:tblOverlap w:val="never"/>
        <w:tblW w:w="13210" w:type="dxa"/>
        <w:tblInd w:w="0" w:type="dxa"/>
        <w:tblLayout w:type="fixed"/>
        <w:tblCellMar>
          <w:top w:w="0" w:type="dxa"/>
          <w:left w:w="108" w:type="dxa"/>
          <w:bottom w:w="0" w:type="dxa"/>
          <w:right w:w="108" w:type="dxa"/>
        </w:tblCellMar>
      </w:tblPr>
      <w:tblGrid>
        <w:gridCol w:w="1372"/>
        <w:gridCol w:w="56"/>
        <w:gridCol w:w="1429"/>
        <w:gridCol w:w="1731"/>
        <w:gridCol w:w="1707"/>
        <w:gridCol w:w="1708"/>
        <w:gridCol w:w="1708"/>
        <w:gridCol w:w="1708"/>
        <w:gridCol w:w="1791"/>
      </w:tblGrid>
      <w:tr>
        <w:tblPrEx>
          <w:tblCellMar>
            <w:top w:w="0" w:type="dxa"/>
            <w:left w:w="108" w:type="dxa"/>
            <w:bottom w:w="0" w:type="dxa"/>
            <w:right w:w="108" w:type="dxa"/>
          </w:tblCellMar>
        </w:tblPrEx>
        <w:trPr>
          <w:trHeight w:val="453"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       目</w:t>
            </w:r>
          </w:p>
        </w:tc>
        <w:tc>
          <w:tcPr>
            <w:tcW w:w="1731"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年初结转和结余</w:t>
            </w:r>
          </w:p>
        </w:tc>
        <w:tc>
          <w:tcPr>
            <w:tcW w:w="1707" w:type="dxa"/>
            <w:vMerge w:val="restart"/>
            <w:tcBorders>
              <w:top w:val="single" w:color="auto" w:sz="4" w:space="0"/>
              <w:left w:val="nil"/>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本年收入</w:t>
            </w:r>
          </w:p>
        </w:tc>
        <w:tc>
          <w:tcPr>
            <w:tcW w:w="5124" w:type="dxa"/>
            <w:gridSpan w:val="3"/>
            <w:tcBorders>
              <w:top w:val="single" w:color="auto" w:sz="4" w:space="0"/>
              <w:left w:val="nil"/>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本年支出</w:t>
            </w:r>
          </w:p>
        </w:tc>
        <w:tc>
          <w:tcPr>
            <w:tcW w:w="1791" w:type="dxa"/>
            <w:vMerge w:val="restart"/>
            <w:tcBorders>
              <w:top w:val="single" w:color="auto" w:sz="4" w:space="0"/>
              <w:left w:val="nil"/>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年末结转和结余</w:t>
            </w:r>
          </w:p>
        </w:tc>
      </w:tr>
      <w:tr>
        <w:tblPrEx>
          <w:tblCellMar>
            <w:top w:w="0" w:type="dxa"/>
            <w:left w:w="108" w:type="dxa"/>
            <w:bottom w:w="0" w:type="dxa"/>
            <w:right w:w="108" w:type="dxa"/>
          </w:tblCellMar>
        </w:tblPrEx>
        <w:trPr>
          <w:trHeight w:val="599" w:hRule="atLeast"/>
        </w:trPr>
        <w:tc>
          <w:tcPr>
            <w:tcW w:w="142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功能分类  科目编码</w:t>
            </w:r>
          </w:p>
        </w:tc>
        <w:tc>
          <w:tcPr>
            <w:tcW w:w="1429"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科目名称</w:t>
            </w:r>
          </w:p>
        </w:tc>
        <w:tc>
          <w:tcPr>
            <w:tcW w:w="1731"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p>
        </w:tc>
        <w:tc>
          <w:tcPr>
            <w:tcW w:w="1707" w:type="dxa"/>
            <w:vMerge w:val="continue"/>
            <w:tcBorders>
              <w:left w:val="nil"/>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p>
        </w:tc>
        <w:tc>
          <w:tcPr>
            <w:tcW w:w="1708" w:type="dxa"/>
            <w:tcBorders>
              <w:top w:val="single" w:color="auto" w:sz="4" w:space="0"/>
              <w:left w:val="nil"/>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小计</w:t>
            </w:r>
          </w:p>
        </w:tc>
        <w:tc>
          <w:tcPr>
            <w:tcW w:w="1708" w:type="dxa"/>
            <w:tcBorders>
              <w:top w:val="single" w:color="auto" w:sz="4" w:space="0"/>
              <w:left w:val="nil"/>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基本支出</w:t>
            </w:r>
          </w:p>
        </w:tc>
        <w:tc>
          <w:tcPr>
            <w:tcW w:w="1708" w:type="dxa"/>
            <w:tcBorders>
              <w:top w:val="single" w:color="auto" w:sz="4" w:space="0"/>
              <w:left w:val="nil"/>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项目支出</w:t>
            </w:r>
          </w:p>
        </w:tc>
        <w:tc>
          <w:tcPr>
            <w:tcW w:w="1791" w:type="dxa"/>
            <w:vMerge w:val="continue"/>
            <w:tcBorders>
              <w:left w:val="nil"/>
              <w:bottom w:val="single" w:color="auto" w:sz="4" w:space="0"/>
              <w:right w:val="single" w:color="auto" w:sz="4" w:space="0"/>
            </w:tcBorders>
            <w:noWrap/>
            <w:vAlign w:val="center"/>
          </w:tcPr>
          <w:p>
            <w:pPr>
              <w:spacing w:line="300" w:lineRule="exact"/>
              <w:jc w:val="center"/>
              <w:rPr>
                <w:rFonts w:ascii="仿宋_GB2312" w:hAnsi="宋体" w:eastAsia="仿宋_GB2312" w:cs="宋体"/>
                <w:kern w:val="0"/>
                <w:sz w:val="22"/>
                <w:szCs w:val="22"/>
              </w:rPr>
            </w:pPr>
          </w:p>
        </w:tc>
      </w:tr>
      <w:tr>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栏  次</w:t>
            </w:r>
          </w:p>
        </w:tc>
        <w:tc>
          <w:tcPr>
            <w:tcW w:w="1731"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1</w:t>
            </w:r>
          </w:p>
        </w:tc>
        <w:tc>
          <w:tcPr>
            <w:tcW w:w="1707"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2</w:t>
            </w: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3</w:t>
            </w: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4</w:t>
            </w: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5</w:t>
            </w:r>
          </w:p>
        </w:tc>
        <w:tc>
          <w:tcPr>
            <w:tcW w:w="1791" w:type="dxa"/>
            <w:tcBorders>
              <w:top w:val="nil"/>
              <w:left w:val="nil"/>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6</w:t>
            </w:r>
          </w:p>
        </w:tc>
      </w:tr>
      <w:tr>
        <w:tblPrEx>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合  计</w:t>
            </w:r>
          </w:p>
        </w:tc>
        <w:tc>
          <w:tcPr>
            <w:tcW w:w="173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707"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1,048.93</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1,048.93</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1,048.93</w:t>
            </w:r>
          </w:p>
        </w:tc>
        <w:tc>
          <w:tcPr>
            <w:tcW w:w="179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b/>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w:t>
            </w:r>
          </w:p>
        </w:tc>
        <w:tc>
          <w:tcPr>
            <w:tcW w:w="1485" w:type="dxa"/>
            <w:gridSpan w:val="2"/>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城乡社区支出</w:t>
            </w:r>
          </w:p>
        </w:tc>
        <w:tc>
          <w:tcPr>
            <w:tcW w:w="173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7"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9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21208</w:t>
            </w:r>
          </w:p>
        </w:tc>
        <w:tc>
          <w:tcPr>
            <w:tcW w:w="1485" w:type="dxa"/>
            <w:gridSpan w:val="2"/>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国有土地使用权出让收入及对应专项债务收入安排的支出</w:t>
            </w:r>
          </w:p>
        </w:tc>
        <w:tc>
          <w:tcPr>
            <w:tcW w:w="173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7"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9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2120801</w:t>
            </w:r>
          </w:p>
        </w:tc>
        <w:tc>
          <w:tcPr>
            <w:tcW w:w="1485" w:type="dxa"/>
            <w:gridSpan w:val="2"/>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征地和拆迁补偿支出</w:t>
            </w:r>
          </w:p>
        </w:tc>
        <w:tc>
          <w:tcPr>
            <w:tcW w:w="173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7"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08"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1,018.93</w:t>
            </w:r>
          </w:p>
        </w:tc>
        <w:tc>
          <w:tcPr>
            <w:tcW w:w="179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w:t>
            </w:r>
          </w:p>
        </w:tc>
        <w:tc>
          <w:tcPr>
            <w:tcW w:w="1485" w:type="dxa"/>
            <w:gridSpan w:val="2"/>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其他支出</w:t>
            </w:r>
          </w:p>
        </w:tc>
        <w:tc>
          <w:tcPr>
            <w:tcW w:w="173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7"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9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22960</w:t>
            </w:r>
          </w:p>
        </w:tc>
        <w:tc>
          <w:tcPr>
            <w:tcW w:w="1485" w:type="dxa"/>
            <w:gridSpan w:val="2"/>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彩票公益金安排的支出</w:t>
            </w:r>
          </w:p>
        </w:tc>
        <w:tc>
          <w:tcPr>
            <w:tcW w:w="173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7"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9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2296002</w:t>
            </w:r>
          </w:p>
        </w:tc>
        <w:tc>
          <w:tcPr>
            <w:tcW w:w="1485" w:type="dxa"/>
            <w:gridSpan w:val="2"/>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 xml:space="preserve">  用于社会福利的彩票公益金支出</w:t>
            </w:r>
          </w:p>
        </w:tc>
        <w:tc>
          <w:tcPr>
            <w:tcW w:w="173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7"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c>
          <w:tcPr>
            <w:tcW w:w="1708"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30.00</w:t>
            </w:r>
          </w:p>
        </w:tc>
        <w:tc>
          <w:tcPr>
            <w:tcW w:w="1791"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仿宋_GB2312" w:hAnsi="宋体" w:eastAsia="仿宋_GB2312" w:cs="宋体"/>
                <w:kern w:val="0"/>
                <w:sz w:val="22"/>
                <w:szCs w:val="22"/>
              </w:rPr>
            </w:pPr>
            <w:r>
              <w:rPr>
                <w:rFonts w:hint="eastAsia" w:ascii="宋体" w:hAnsi="宋体" w:eastAsia="宋体" w:cs="宋体"/>
                <w:i w:val="0"/>
                <w:color w:val="000000"/>
                <w:kern w:val="0"/>
                <w:sz w:val="22"/>
                <w:szCs w:val="22"/>
                <w:u w:val="none"/>
                <w:lang w:val="en-US" w:eastAsia="zh-CN" w:bidi="ar"/>
              </w:rPr>
              <w:t>0.00</w:t>
            </w:r>
          </w:p>
        </w:tc>
      </w:tr>
    </w:tbl>
    <w:p>
      <w:pPr>
        <w:ind w:firstLine="108" w:firstLineChars="50"/>
        <w:rPr>
          <w:rFonts w:ascii="仿宋_GB2312" w:hAnsi="宋体" w:eastAsia="仿宋_GB2312"/>
          <w:sz w:val="22"/>
          <w:szCs w:val="22"/>
        </w:rPr>
      </w:pPr>
      <w:r>
        <w:rPr>
          <w:rFonts w:hint="eastAsia" w:ascii="仿宋_GB2312" w:hAnsi="宋体" w:eastAsia="仿宋_GB2312"/>
          <w:sz w:val="22"/>
          <w:szCs w:val="22"/>
        </w:rPr>
        <w:t>注：本表反映部门本年度政府性基金预算财政拨款收入、支出及结转和结余情况。</w:t>
      </w:r>
    </w:p>
    <w:p>
      <w:pPr>
        <w:rPr>
          <w:rFonts w:ascii="仿宋_GB2312" w:hAnsi="宋体" w:eastAsia="仿宋_GB2312"/>
          <w:sz w:val="22"/>
          <w:szCs w:val="22"/>
        </w:rPr>
        <w:sectPr>
          <w:pgSz w:w="16838" w:h="11906" w:orient="landscape"/>
          <w:pgMar w:top="1531" w:right="1701" w:bottom="1531" w:left="1701" w:header="0" w:footer="1418" w:gutter="0"/>
          <w:pgBorders>
            <w:top w:val="none" w:sz="0" w:space="0"/>
            <w:left w:val="none" w:sz="0" w:space="0"/>
            <w:bottom w:val="none" w:sz="0" w:space="0"/>
            <w:right w:val="none" w:sz="0" w:space="0"/>
          </w:pgBorders>
          <w:cols w:space="720" w:num="1"/>
          <w:docGrid w:type="linesAndChars" w:linePitch="610" w:charSpace="-849"/>
        </w:sectPr>
      </w:pPr>
    </w:p>
    <w:p>
      <w:pPr>
        <w:jc w:val="center"/>
        <w:rPr>
          <w:rFonts w:ascii="方正小标宋简体" w:eastAsia="方正小标宋简体"/>
          <w:sz w:val="42"/>
        </w:rPr>
      </w:pPr>
    </w:p>
    <w:p>
      <w:pPr>
        <w:jc w:val="center"/>
        <w:rPr>
          <w:rFonts w:ascii="方正小标宋简体" w:eastAsia="方正小标宋简体"/>
          <w:sz w:val="42"/>
        </w:rPr>
      </w:pPr>
    </w:p>
    <w:p>
      <w:pPr>
        <w:ind w:firstLine="536" w:firstLineChars="100"/>
        <w:rPr>
          <w:rFonts w:ascii="方正小标宋简体" w:eastAsia="方正小标宋简体"/>
          <w:spacing w:val="60"/>
          <w:sz w:val="42"/>
        </w:rPr>
      </w:pPr>
      <w:r>
        <w:rPr>
          <w:rFonts w:hint="eastAsia" w:ascii="方正小标宋简体" w:eastAsia="方正小标宋简体"/>
          <w:spacing w:val="60"/>
          <w:sz w:val="42"/>
        </w:rPr>
        <w:t>第三部分</w:t>
      </w:r>
    </w:p>
    <w:p>
      <w:pPr>
        <w:jc w:val="center"/>
        <w:rPr>
          <w:rFonts w:ascii="方正小标宋简体" w:eastAsia="方正小标宋简体"/>
          <w:spacing w:val="60"/>
          <w:sz w:val="42"/>
        </w:rPr>
      </w:pPr>
    </w:p>
    <w:p>
      <w:pPr>
        <w:spacing w:line="800" w:lineRule="exact"/>
        <w:jc w:val="center"/>
        <w:rPr>
          <w:rFonts w:ascii="方正小标宋简体" w:eastAsia="方正小标宋简体"/>
          <w:spacing w:val="60"/>
          <w:sz w:val="48"/>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r>
        <w:rPr>
          <w:rFonts w:hint="eastAsia" w:ascii="方正小标宋简体" w:eastAsia="方正小标宋简体"/>
          <w:spacing w:val="60"/>
          <w:sz w:val="48"/>
        </w:rPr>
        <w:t>2019年度部门决算情况说明</w:t>
      </w:r>
    </w:p>
    <w:p>
      <w:pPr>
        <w:ind w:firstLine="632" w:firstLineChars="200"/>
        <w:rPr>
          <w:rFonts w:ascii="黑体" w:hAnsi="黑体" w:eastAsia="黑体"/>
          <w:szCs w:val="32"/>
        </w:rPr>
      </w:pPr>
      <w:r>
        <w:rPr>
          <w:rFonts w:hint="eastAsia" w:ascii="黑体" w:hAnsi="黑体" w:eastAsia="黑体"/>
          <w:szCs w:val="32"/>
        </w:rPr>
        <w:t>一、收入支出决算总体情况说明</w:t>
      </w:r>
    </w:p>
    <w:p>
      <w:pPr>
        <w:ind w:firstLine="632" w:firstLineChars="200"/>
        <w:rPr>
          <w:rFonts w:hint="eastAsia" w:ascii="仿宋_GB2312" w:eastAsia="仿宋_GB2312"/>
          <w:szCs w:val="32"/>
        </w:rPr>
      </w:pPr>
      <w:r>
        <w:rPr>
          <w:rFonts w:hint="eastAsia" w:ascii="仿宋_GB2312" w:eastAsia="仿宋_GB2312"/>
          <w:szCs w:val="32"/>
        </w:rPr>
        <w:t xml:space="preserve">2019年度收、支总计 </w:t>
      </w:r>
      <w:r>
        <w:rPr>
          <w:rFonts w:hint="eastAsia" w:ascii="仿宋_GB2312" w:eastAsia="仿宋_GB2312"/>
          <w:szCs w:val="32"/>
          <w:lang w:val="en-US" w:eastAsia="zh-CN"/>
        </w:rPr>
        <w:t>5634.39</w:t>
      </w:r>
      <w:r>
        <w:rPr>
          <w:rFonts w:hint="eastAsia" w:ascii="仿宋_GB2312" w:eastAsia="仿宋_GB2312"/>
          <w:szCs w:val="32"/>
        </w:rPr>
        <w:t>万元。与2018年相比，收、支总计各减少</w:t>
      </w:r>
      <w:r>
        <w:rPr>
          <w:rFonts w:hint="eastAsia" w:ascii="仿宋_GB2312" w:eastAsia="仿宋_GB2312"/>
          <w:szCs w:val="32"/>
          <w:lang w:val="en-US" w:eastAsia="zh-CN"/>
        </w:rPr>
        <w:t>557.34</w:t>
      </w:r>
      <w:r>
        <w:rPr>
          <w:rFonts w:hint="eastAsia" w:ascii="仿宋_GB2312" w:eastAsia="仿宋_GB2312"/>
          <w:szCs w:val="32"/>
        </w:rPr>
        <w:t>万元，下降</w:t>
      </w:r>
      <w:r>
        <w:rPr>
          <w:rFonts w:hint="eastAsia" w:ascii="仿宋_GB2312" w:eastAsia="仿宋_GB2312"/>
          <w:szCs w:val="32"/>
          <w:lang w:val="en-US" w:eastAsia="zh-CN"/>
        </w:rPr>
        <w:t>9.0</w:t>
      </w:r>
      <w:r>
        <w:rPr>
          <w:rFonts w:hint="eastAsia" w:ascii="仿宋_GB2312" w:eastAsia="仿宋_GB2312"/>
          <w:szCs w:val="32"/>
        </w:rPr>
        <w:t>%。主要是</w:t>
      </w:r>
      <w:r>
        <w:rPr>
          <w:rFonts w:hint="eastAsia" w:ascii="仿宋_GB2312" w:eastAsia="仿宋_GB2312"/>
          <w:szCs w:val="32"/>
          <w:lang w:val="en-US" w:eastAsia="zh-CN"/>
        </w:rPr>
        <w:t>2019年度没有基建拨款导致收入支出减少</w:t>
      </w:r>
      <w:r>
        <w:rPr>
          <w:rFonts w:hint="eastAsia" w:ascii="仿宋_GB2312" w:eastAsia="仿宋_GB2312"/>
          <w:szCs w:val="32"/>
        </w:rPr>
        <w:t>。</w:t>
      </w:r>
    </w:p>
    <w:p>
      <w:pPr>
        <w:ind w:firstLine="632" w:firstLineChars="200"/>
        <w:rPr>
          <w:rFonts w:hint="eastAsia" w:ascii="仿宋_GB2312" w:eastAsia="仿宋_GB2312"/>
          <w:szCs w:val="32"/>
          <w:lang w:eastAsia="zh-CN"/>
        </w:rPr>
      </w:pPr>
      <w:r>
        <w:rPr>
          <w:rFonts w:hint="eastAsia" w:ascii="仿宋_GB2312" w:eastAsia="仿宋_GB2312"/>
          <w:szCs w:val="32"/>
          <w:lang w:eastAsia="zh-CN"/>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ind w:firstLine="632" w:firstLineChars="200"/>
        <w:rPr>
          <w:rFonts w:hint="eastAsia" w:ascii="仿宋_GB2312" w:eastAsia="仿宋_GB2312"/>
          <w:szCs w:val="32"/>
        </w:rPr>
      </w:pPr>
    </w:p>
    <w:p>
      <w:pPr>
        <w:ind w:firstLine="632" w:firstLineChars="200"/>
        <w:rPr>
          <w:rFonts w:ascii="黑体" w:hAnsi="黑体" w:eastAsia="黑体"/>
          <w:szCs w:val="32"/>
        </w:rPr>
      </w:pPr>
      <w:r>
        <w:rPr>
          <w:rFonts w:hint="eastAsia" w:ascii="黑体" w:hAnsi="黑体" w:eastAsia="黑体"/>
          <w:szCs w:val="32"/>
        </w:rPr>
        <w:t>二、收入决算情况说明</w:t>
      </w:r>
    </w:p>
    <w:p>
      <w:pPr>
        <w:ind w:firstLine="632" w:firstLineChars="200"/>
        <w:rPr>
          <w:rFonts w:hint="eastAsia" w:ascii="仿宋_GB2312" w:eastAsia="仿宋_GB2312"/>
          <w:szCs w:val="32"/>
          <w:lang w:val="en-US" w:eastAsia="zh-CN"/>
        </w:rPr>
      </w:pPr>
      <w:r>
        <w:rPr>
          <w:rFonts w:hint="eastAsia" w:ascii="仿宋_GB2312" w:eastAsia="仿宋_GB2312"/>
          <w:szCs w:val="32"/>
        </w:rPr>
        <w:t xml:space="preserve">本年收入合计 </w:t>
      </w:r>
      <w:r>
        <w:rPr>
          <w:rFonts w:hint="eastAsia" w:ascii="仿宋_GB2312" w:eastAsia="仿宋_GB2312"/>
          <w:szCs w:val="32"/>
          <w:lang w:val="en-US" w:eastAsia="zh-CN"/>
        </w:rPr>
        <w:t>5634.39</w:t>
      </w:r>
      <w:r>
        <w:rPr>
          <w:rFonts w:hint="eastAsia" w:ascii="仿宋_GB2312" w:eastAsia="仿宋_GB2312"/>
          <w:szCs w:val="32"/>
        </w:rPr>
        <w:t>万元，其中：</w:t>
      </w:r>
      <w:r>
        <w:rPr>
          <w:rFonts w:hint="eastAsia" w:ascii="仿宋_GB2312" w:eastAsia="仿宋_GB2312"/>
          <w:szCs w:val="32"/>
          <w:lang w:eastAsia="zh-CN"/>
        </w:rPr>
        <w:t>一般公共预算</w:t>
      </w:r>
      <w:r>
        <w:rPr>
          <w:rFonts w:hint="eastAsia" w:ascii="仿宋_GB2312" w:eastAsia="仿宋_GB2312"/>
          <w:szCs w:val="32"/>
        </w:rPr>
        <w:t>财政拨款收入</w:t>
      </w:r>
      <w:r>
        <w:rPr>
          <w:rFonts w:hint="eastAsia" w:ascii="仿宋_GB2312" w:eastAsia="仿宋_GB2312"/>
          <w:szCs w:val="32"/>
          <w:lang w:val="en-US" w:eastAsia="zh-CN"/>
        </w:rPr>
        <w:t>4585.46</w:t>
      </w:r>
      <w:r>
        <w:rPr>
          <w:rFonts w:hint="eastAsia" w:ascii="仿宋_GB2312" w:eastAsia="仿宋_GB2312"/>
          <w:szCs w:val="32"/>
        </w:rPr>
        <w:t>万元，占</w:t>
      </w:r>
      <w:r>
        <w:rPr>
          <w:rFonts w:hint="eastAsia" w:ascii="仿宋_GB2312" w:eastAsia="仿宋_GB2312"/>
          <w:szCs w:val="32"/>
          <w:lang w:val="en-US" w:eastAsia="zh-CN"/>
        </w:rPr>
        <w:t>81.4</w:t>
      </w:r>
      <w:r>
        <w:rPr>
          <w:rFonts w:hint="eastAsia" w:ascii="仿宋_GB2312" w:eastAsia="仿宋_GB2312"/>
          <w:szCs w:val="32"/>
        </w:rPr>
        <w:t>%</w:t>
      </w:r>
      <w:r>
        <w:rPr>
          <w:rFonts w:hint="eastAsia" w:ascii="仿宋_GB2312" w:eastAsia="仿宋_GB2312"/>
          <w:szCs w:val="32"/>
          <w:lang w:eastAsia="zh-CN"/>
        </w:rPr>
        <w:t>，政府性基金预算财政拨款收入</w:t>
      </w:r>
      <w:r>
        <w:rPr>
          <w:rFonts w:hint="eastAsia" w:ascii="仿宋_GB2312" w:eastAsia="仿宋_GB2312"/>
          <w:szCs w:val="32"/>
          <w:lang w:val="en-US" w:eastAsia="zh-CN"/>
        </w:rPr>
        <w:t>1048.93万元，占18.6%。</w:t>
      </w:r>
    </w:p>
    <w:p>
      <w:pPr>
        <w:ind w:firstLine="632" w:firstLineChars="200"/>
        <w:rPr>
          <w:rFonts w:hint="eastAsia" w:ascii="仿宋_GB2312" w:eastAsia="仿宋_GB2312"/>
          <w:szCs w:val="32"/>
          <w:lang w:val="en-US" w:eastAsia="zh-CN"/>
        </w:rPr>
      </w:pPr>
      <w:r>
        <w:rPr>
          <w:rFonts w:hint="eastAsia" w:ascii="仿宋_GB2312" w:eastAsia="仿宋_GB2312"/>
          <w:szCs w:val="32"/>
          <w:lang w:val="en-US" w:eastAsia="zh-CN"/>
        </w:rPr>
        <w:drawing>
          <wp:inline distT="0" distB="0" distL="114300" distR="114300">
            <wp:extent cx="4556125" cy="3163570"/>
            <wp:effectExtent l="4445" t="4445" r="11430" b="1333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ind w:firstLine="632" w:firstLineChars="200"/>
        <w:rPr>
          <w:rFonts w:hint="eastAsia" w:ascii="仿宋_GB2312" w:eastAsia="仿宋_GB2312"/>
          <w:szCs w:val="32"/>
          <w:lang w:eastAsia="zh-CN"/>
        </w:rPr>
      </w:pPr>
    </w:p>
    <w:p>
      <w:pPr>
        <w:ind w:firstLine="632" w:firstLineChars="200"/>
        <w:rPr>
          <w:rFonts w:ascii="黑体" w:hAnsi="黑体" w:eastAsia="黑体"/>
          <w:szCs w:val="32"/>
        </w:rPr>
      </w:pPr>
      <w:r>
        <w:rPr>
          <w:rFonts w:hint="eastAsia" w:ascii="黑体" w:hAnsi="黑体" w:eastAsia="黑体"/>
          <w:szCs w:val="32"/>
        </w:rPr>
        <w:t>三、支出决算情况说明</w:t>
      </w:r>
    </w:p>
    <w:p>
      <w:pPr>
        <w:ind w:firstLine="632" w:firstLineChars="200"/>
        <w:rPr>
          <w:rFonts w:hint="eastAsia" w:ascii="仿宋_GB2312" w:eastAsia="仿宋_GB2312"/>
          <w:szCs w:val="32"/>
        </w:rPr>
      </w:pPr>
      <w:r>
        <w:rPr>
          <w:rFonts w:hint="eastAsia" w:ascii="仿宋_GB2312" w:eastAsia="仿宋_GB2312"/>
          <w:szCs w:val="32"/>
        </w:rPr>
        <w:t>本年支出合计</w:t>
      </w:r>
      <w:r>
        <w:rPr>
          <w:rFonts w:hint="eastAsia" w:ascii="仿宋_GB2312" w:eastAsia="仿宋_GB2312"/>
          <w:szCs w:val="32"/>
          <w:lang w:val="en-US" w:eastAsia="zh-CN"/>
        </w:rPr>
        <w:t>5634.39</w:t>
      </w:r>
      <w:r>
        <w:rPr>
          <w:rFonts w:hint="eastAsia" w:ascii="仿宋_GB2312" w:eastAsia="仿宋_GB2312"/>
          <w:szCs w:val="32"/>
        </w:rPr>
        <w:t>万元，其中：基本支出</w:t>
      </w:r>
      <w:r>
        <w:rPr>
          <w:rFonts w:hint="eastAsia" w:ascii="仿宋_GB2312" w:eastAsia="仿宋_GB2312"/>
          <w:szCs w:val="32"/>
          <w:lang w:val="en-US" w:eastAsia="zh-CN"/>
        </w:rPr>
        <w:t>3439.03</w:t>
      </w:r>
      <w:r>
        <w:rPr>
          <w:rFonts w:hint="eastAsia" w:ascii="仿宋_GB2312" w:eastAsia="仿宋_GB2312"/>
          <w:szCs w:val="32"/>
        </w:rPr>
        <w:t>万元，占</w:t>
      </w:r>
      <w:r>
        <w:rPr>
          <w:rFonts w:hint="eastAsia" w:ascii="仿宋_GB2312" w:eastAsia="仿宋_GB2312"/>
          <w:szCs w:val="32"/>
          <w:lang w:val="en-US" w:eastAsia="zh-CN"/>
        </w:rPr>
        <w:t>61</w:t>
      </w:r>
      <w:r>
        <w:rPr>
          <w:rFonts w:hint="eastAsia" w:ascii="仿宋_GB2312" w:eastAsia="仿宋_GB2312"/>
          <w:szCs w:val="32"/>
        </w:rPr>
        <w:t>%；项目支出</w:t>
      </w:r>
      <w:r>
        <w:rPr>
          <w:rFonts w:hint="eastAsia" w:ascii="仿宋_GB2312" w:eastAsia="仿宋_GB2312"/>
          <w:szCs w:val="32"/>
          <w:lang w:val="en-US" w:eastAsia="zh-CN"/>
        </w:rPr>
        <w:t>2195.36</w:t>
      </w:r>
      <w:r>
        <w:rPr>
          <w:rFonts w:hint="eastAsia" w:ascii="仿宋_GB2312" w:eastAsia="仿宋_GB2312"/>
          <w:szCs w:val="32"/>
        </w:rPr>
        <w:t>万元，占</w:t>
      </w:r>
      <w:r>
        <w:rPr>
          <w:rFonts w:hint="eastAsia" w:ascii="仿宋_GB2312" w:eastAsia="仿宋_GB2312"/>
          <w:szCs w:val="32"/>
          <w:lang w:val="en-US" w:eastAsia="zh-CN"/>
        </w:rPr>
        <w:t>39</w:t>
      </w:r>
      <w:r>
        <w:rPr>
          <w:rFonts w:hint="eastAsia" w:ascii="仿宋_GB2312" w:eastAsia="仿宋_GB2312"/>
          <w:szCs w:val="32"/>
        </w:rPr>
        <w:t>%。</w:t>
      </w:r>
    </w:p>
    <w:p>
      <w:pPr>
        <w:ind w:firstLine="632" w:firstLineChars="200"/>
        <w:rPr>
          <w:rFonts w:hint="eastAsia" w:ascii="仿宋_GB2312" w:eastAsia="仿宋_GB2312"/>
          <w:szCs w:val="32"/>
          <w:lang w:eastAsia="zh-CN"/>
        </w:rPr>
      </w:pPr>
      <w:r>
        <w:rPr>
          <w:rFonts w:hint="eastAsia" w:ascii="仿宋_GB2312" w:eastAsia="仿宋_GB2312"/>
          <w:szCs w:val="32"/>
          <w:lang w:eastAsia="zh-CN"/>
        </w:rPr>
        <w:drawing>
          <wp:inline distT="0" distB="0" distL="114300" distR="114300">
            <wp:extent cx="4624070" cy="3181350"/>
            <wp:effectExtent l="5080" t="4445" r="19050"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ind w:firstLine="632" w:firstLineChars="200"/>
        <w:rPr>
          <w:rFonts w:ascii="黑体" w:hAnsi="黑体" w:eastAsia="黑体"/>
          <w:szCs w:val="32"/>
        </w:rPr>
      </w:pPr>
      <w:r>
        <w:rPr>
          <w:rFonts w:hint="eastAsia" w:ascii="黑体" w:hAnsi="黑体" w:eastAsia="黑体"/>
          <w:szCs w:val="32"/>
        </w:rPr>
        <w:t>四、财政拨款收入支出决算总体情况说明</w:t>
      </w:r>
    </w:p>
    <w:p>
      <w:pPr>
        <w:ind w:firstLine="632" w:firstLineChars="200"/>
        <w:rPr>
          <w:rFonts w:hint="eastAsia" w:ascii="仿宋_GB2312" w:eastAsia="仿宋_GB2312"/>
          <w:szCs w:val="32"/>
        </w:rPr>
      </w:pPr>
      <w:r>
        <w:rPr>
          <w:rFonts w:hint="eastAsia" w:ascii="仿宋_GB2312" w:eastAsia="仿宋_GB2312"/>
          <w:szCs w:val="32"/>
        </w:rPr>
        <w:t>2019年度</w:t>
      </w:r>
      <w:r>
        <w:rPr>
          <w:rFonts w:hint="eastAsia" w:ascii="仿宋_GB2312" w:eastAsia="仿宋_GB2312"/>
          <w:szCs w:val="32"/>
          <w:lang w:eastAsia="zh-CN"/>
        </w:rPr>
        <w:t>财政拨款</w:t>
      </w:r>
      <w:r>
        <w:rPr>
          <w:rFonts w:hint="eastAsia" w:ascii="仿宋_GB2312" w:eastAsia="仿宋_GB2312"/>
          <w:szCs w:val="32"/>
        </w:rPr>
        <w:t xml:space="preserve">收、支总计 </w:t>
      </w:r>
      <w:r>
        <w:rPr>
          <w:rFonts w:hint="eastAsia" w:ascii="仿宋_GB2312" w:eastAsia="仿宋_GB2312"/>
          <w:szCs w:val="32"/>
          <w:lang w:val="en-US" w:eastAsia="zh-CN"/>
        </w:rPr>
        <w:t>5634.39</w:t>
      </w:r>
      <w:r>
        <w:rPr>
          <w:rFonts w:hint="eastAsia" w:ascii="仿宋_GB2312" w:eastAsia="仿宋_GB2312"/>
          <w:szCs w:val="32"/>
        </w:rPr>
        <w:t>万元。与2018年相比，</w:t>
      </w:r>
      <w:r>
        <w:rPr>
          <w:rFonts w:hint="eastAsia" w:ascii="仿宋_GB2312" w:eastAsia="仿宋_GB2312"/>
          <w:szCs w:val="32"/>
          <w:lang w:eastAsia="zh-CN"/>
        </w:rPr>
        <w:t>财政拨款</w:t>
      </w:r>
      <w:r>
        <w:rPr>
          <w:rFonts w:hint="eastAsia" w:ascii="仿宋_GB2312" w:eastAsia="仿宋_GB2312"/>
          <w:szCs w:val="32"/>
        </w:rPr>
        <w:t>收、支总计各减少</w:t>
      </w:r>
      <w:r>
        <w:rPr>
          <w:rFonts w:hint="eastAsia" w:ascii="仿宋_GB2312" w:eastAsia="仿宋_GB2312"/>
          <w:szCs w:val="32"/>
          <w:lang w:val="en-US" w:eastAsia="zh-CN"/>
        </w:rPr>
        <w:t>557.34</w:t>
      </w:r>
      <w:r>
        <w:rPr>
          <w:rFonts w:hint="eastAsia" w:ascii="仿宋_GB2312" w:eastAsia="仿宋_GB2312"/>
          <w:szCs w:val="32"/>
        </w:rPr>
        <w:t>万元，下降</w:t>
      </w:r>
      <w:r>
        <w:rPr>
          <w:rFonts w:hint="eastAsia" w:ascii="仿宋_GB2312" w:eastAsia="仿宋_GB2312"/>
          <w:szCs w:val="32"/>
          <w:lang w:val="en-US" w:eastAsia="zh-CN"/>
        </w:rPr>
        <w:t>9.0</w:t>
      </w:r>
      <w:r>
        <w:rPr>
          <w:rFonts w:hint="eastAsia" w:ascii="仿宋_GB2312" w:eastAsia="仿宋_GB2312"/>
          <w:szCs w:val="32"/>
        </w:rPr>
        <w:t>%。主要是</w:t>
      </w:r>
      <w:r>
        <w:rPr>
          <w:rFonts w:hint="eastAsia" w:ascii="仿宋_GB2312" w:eastAsia="仿宋_GB2312"/>
          <w:szCs w:val="32"/>
          <w:lang w:val="en-US" w:eastAsia="zh-CN"/>
        </w:rPr>
        <w:t>2019年度没有基建拨款导致收入支出减少</w:t>
      </w:r>
      <w:r>
        <w:rPr>
          <w:rFonts w:hint="eastAsia" w:ascii="仿宋_GB2312" w:eastAsia="仿宋_GB2312"/>
          <w:szCs w:val="32"/>
        </w:rPr>
        <w:t>。</w:t>
      </w:r>
    </w:p>
    <w:p>
      <w:pPr>
        <w:rPr>
          <w:rFonts w:hint="eastAsia" w:ascii="仿宋_GB2312" w:eastAsia="仿宋_GB2312"/>
          <w:b/>
          <w:szCs w:val="32"/>
        </w:rPr>
      </w:pPr>
      <w:r>
        <w:rPr>
          <w:rFonts w:hint="eastAsia" w:ascii="仿宋_GB2312" w:eastAsia="仿宋_GB2312"/>
          <w:szCs w:val="32"/>
          <w:lang w:eastAsia="zh-CN"/>
        </w:rPr>
        <w:drawing>
          <wp:inline distT="0" distB="0" distL="114300" distR="114300">
            <wp:extent cx="5860415" cy="3687445"/>
            <wp:effectExtent l="4445" t="5080" r="21590" b="222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ind w:firstLine="632" w:firstLineChars="200"/>
        <w:rPr>
          <w:rFonts w:ascii="黑体" w:hAnsi="黑体" w:eastAsia="黑体"/>
          <w:szCs w:val="32"/>
        </w:rPr>
      </w:pPr>
      <w:r>
        <w:rPr>
          <w:rFonts w:hint="eastAsia" w:ascii="黑体" w:hAnsi="黑体" w:eastAsia="黑体"/>
          <w:szCs w:val="32"/>
        </w:rPr>
        <w:t>五、一般公共预算财政拨款支出决算情况说明</w:t>
      </w:r>
    </w:p>
    <w:p>
      <w:pPr>
        <w:ind w:firstLine="632" w:firstLineChars="200"/>
        <w:rPr>
          <w:rFonts w:ascii="楷体_GB2312" w:eastAsia="楷体_GB2312"/>
          <w:szCs w:val="32"/>
        </w:rPr>
      </w:pPr>
      <w:r>
        <w:rPr>
          <w:rFonts w:hint="eastAsia" w:ascii="楷体_GB2312" w:eastAsia="楷体_GB2312"/>
          <w:szCs w:val="32"/>
        </w:rPr>
        <w:t>（一）一般公共预算财政拨款支出决算总体情况</w:t>
      </w:r>
    </w:p>
    <w:p>
      <w:pPr>
        <w:ind w:firstLine="632" w:firstLineChars="200"/>
        <w:rPr>
          <w:rFonts w:hint="eastAsia" w:ascii="仿宋_GB2312" w:eastAsia="仿宋_GB2312"/>
          <w:szCs w:val="32"/>
        </w:rPr>
      </w:pPr>
      <w:r>
        <w:rPr>
          <w:rFonts w:hint="eastAsia" w:ascii="仿宋_GB2312" w:eastAsia="仿宋_GB2312"/>
          <w:szCs w:val="32"/>
        </w:rPr>
        <w:t>2019年度一般公共预算财政拨款支出</w:t>
      </w:r>
      <w:r>
        <w:rPr>
          <w:rFonts w:hint="eastAsia" w:ascii="仿宋_GB2312" w:eastAsia="仿宋_GB2312"/>
          <w:szCs w:val="32"/>
          <w:lang w:val="en-US" w:eastAsia="zh-CN"/>
        </w:rPr>
        <w:t>4585.46</w:t>
      </w:r>
      <w:r>
        <w:rPr>
          <w:rFonts w:hint="eastAsia" w:ascii="仿宋_GB2312" w:eastAsia="仿宋_GB2312"/>
          <w:szCs w:val="32"/>
        </w:rPr>
        <w:t>万元，占本年支出合计的</w:t>
      </w:r>
      <w:r>
        <w:rPr>
          <w:rFonts w:hint="eastAsia" w:ascii="仿宋_GB2312" w:eastAsia="仿宋_GB2312"/>
          <w:szCs w:val="32"/>
          <w:lang w:val="en-US" w:eastAsia="zh-CN"/>
        </w:rPr>
        <w:t>81.38</w:t>
      </w:r>
      <w:r>
        <w:rPr>
          <w:rFonts w:hint="eastAsia" w:ascii="仿宋_GB2312" w:eastAsia="仿宋_GB2312"/>
          <w:szCs w:val="32"/>
        </w:rPr>
        <w:t>%。与2018年相比，一般公共预算财政拨款支出增加</w:t>
      </w:r>
      <w:r>
        <w:rPr>
          <w:rFonts w:hint="eastAsia" w:ascii="仿宋_GB2312" w:eastAsia="仿宋_GB2312"/>
          <w:szCs w:val="32"/>
          <w:lang w:val="en-US" w:eastAsia="zh-CN"/>
        </w:rPr>
        <w:t>1348.34</w:t>
      </w:r>
      <w:r>
        <w:rPr>
          <w:rFonts w:hint="eastAsia" w:ascii="仿宋_GB2312" w:eastAsia="仿宋_GB2312"/>
          <w:szCs w:val="32"/>
        </w:rPr>
        <w:t>万元，增长</w:t>
      </w:r>
      <w:r>
        <w:rPr>
          <w:rFonts w:hint="eastAsia" w:ascii="仿宋_GB2312" w:eastAsia="仿宋_GB2312"/>
          <w:szCs w:val="32"/>
          <w:lang w:val="en-US" w:eastAsia="zh-CN"/>
        </w:rPr>
        <w:t>29.4</w:t>
      </w:r>
      <w:r>
        <w:rPr>
          <w:rFonts w:hint="eastAsia" w:ascii="仿宋_GB2312" w:eastAsia="仿宋_GB2312"/>
          <w:szCs w:val="32"/>
        </w:rPr>
        <w:t>%。主要是</w:t>
      </w:r>
      <w:r>
        <w:rPr>
          <w:rFonts w:hint="eastAsia" w:ascii="仿宋_GB2312" w:eastAsia="仿宋_GB2312"/>
          <w:szCs w:val="32"/>
          <w:lang w:eastAsia="zh-CN"/>
        </w:rPr>
        <w:t>城乡社区支出</w:t>
      </w:r>
      <w:r>
        <w:rPr>
          <w:rFonts w:hint="eastAsia" w:ascii="仿宋_GB2312" w:eastAsia="仿宋_GB2312"/>
          <w:szCs w:val="32"/>
        </w:rPr>
        <w:t>增加。</w:t>
      </w:r>
    </w:p>
    <w:p>
      <w:pPr>
        <w:ind w:firstLine="632" w:firstLineChars="200"/>
        <w:rPr>
          <w:rFonts w:hint="eastAsia" w:ascii="仿宋_GB2312" w:eastAsia="仿宋_GB2312"/>
          <w:szCs w:val="32"/>
        </w:rPr>
      </w:pPr>
      <w:r>
        <w:rPr>
          <w:rFonts w:hint="eastAsia" w:ascii="仿宋_GB2312" w:eastAsia="仿宋_GB2312"/>
          <w:szCs w:val="32"/>
          <w:lang w:eastAsia="zh-CN"/>
        </w:rPr>
        <w:drawing>
          <wp:inline distT="0" distB="0" distL="114300" distR="114300">
            <wp:extent cx="5860415" cy="3687445"/>
            <wp:effectExtent l="4445" t="5080" r="21590" b="222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ind w:firstLine="632" w:firstLineChars="200"/>
        <w:rPr>
          <w:rFonts w:ascii="楷体_GB2312" w:eastAsia="楷体_GB2312"/>
          <w:szCs w:val="32"/>
        </w:rPr>
      </w:pPr>
      <w:r>
        <w:rPr>
          <w:rFonts w:hint="eastAsia" w:ascii="楷体_GB2312" w:eastAsia="楷体_GB2312"/>
          <w:szCs w:val="32"/>
        </w:rPr>
        <w:t>（二）一般公共预算财政拨款支出决算结构情况</w:t>
      </w:r>
    </w:p>
    <w:p>
      <w:pPr>
        <w:ind w:firstLine="632" w:firstLineChars="200"/>
        <w:rPr>
          <w:rFonts w:hint="eastAsia" w:ascii="仿宋_GB2312" w:eastAsia="仿宋_GB2312"/>
          <w:szCs w:val="32"/>
        </w:rPr>
      </w:pPr>
      <w:r>
        <w:rPr>
          <w:rFonts w:hint="eastAsia" w:ascii="仿宋_GB2312" w:eastAsia="仿宋_GB2312"/>
          <w:szCs w:val="32"/>
        </w:rPr>
        <w:t>2019年度一般公共预算财政拨款支出</w:t>
      </w:r>
      <w:r>
        <w:rPr>
          <w:rFonts w:hint="eastAsia" w:ascii="仿宋_GB2312" w:eastAsia="仿宋_GB2312"/>
          <w:szCs w:val="32"/>
          <w:lang w:val="en-US" w:eastAsia="zh-CN"/>
        </w:rPr>
        <w:t>4585.46</w:t>
      </w:r>
      <w:r>
        <w:rPr>
          <w:rFonts w:hint="eastAsia" w:ascii="仿宋_GB2312" w:eastAsia="仿宋_GB2312"/>
          <w:szCs w:val="32"/>
        </w:rPr>
        <w:t>万元，主要用于以下方面：一般公共服务（类）支出</w:t>
      </w:r>
      <w:r>
        <w:rPr>
          <w:rFonts w:hint="eastAsia" w:ascii="仿宋_GB2312" w:eastAsia="仿宋_GB2312"/>
          <w:szCs w:val="32"/>
          <w:lang w:val="en-US" w:eastAsia="zh-CN"/>
        </w:rPr>
        <w:t>711.3</w:t>
      </w:r>
      <w:r>
        <w:rPr>
          <w:rFonts w:hint="eastAsia" w:ascii="仿宋_GB2312" w:eastAsia="仿宋_GB2312"/>
          <w:szCs w:val="32"/>
        </w:rPr>
        <w:t>万元，占</w:t>
      </w:r>
      <w:r>
        <w:rPr>
          <w:rFonts w:hint="eastAsia" w:ascii="仿宋_GB2312" w:eastAsia="仿宋_GB2312"/>
          <w:szCs w:val="32"/>
          <w:lang w:val="en-US" w:eastAsia="zh-CN"/>
        </w:rPr>
        <w:t>15.52</w:t>
      </w:r>
      <w:r>
        <w:rPr>
          <w:rFonts w:hint="eastAsia" w:ascii="仿宋_GB2312" w:eastAsia="仿宋_GB2312"/>
          <w:szCs w:val="32"/>
        </w:rPr>
        <w:t>%；</w:t>
      </w:r>
      <w:r>
        <w:rPr>
          <w:rFonts w:hint="eastAsia" w:ascii="仿宋_GB2312" w:eastAsia="仿宋_GB2312"/>
          <w:szCs w:val="32"/>
          <w:lang w:eastAsia="zh-CN"/>
        </w:rPr>
        <w:t>社会保障和就业</w:t>
      </w:r>
      <w:r>
        <w:rPr>
          <w:rFonts w:hint="eastAsia" w:ascii="仿宋_GB2312" w:eastAsia="仿宋_GB2312"/>
          <w:szCs w:val="32"/>
        </w:rPr>
        <w:t>（类）支出</w:t>
      </w:r>
      <w:r>
        <w:rPr>
          <w:rFonts w:hint="eastAsia" w:ascii="仿宋_GB2312" w:eastAsia="仿宋_GB2312"/>
          <w:szCs w:val="32"/>
          <w:lang w:val="en-US" w:eastAsia="zh-CN"/>
        </w:rPr>
        <w:t>156.07</w:t>
      </w:r>
      <w:r>
        <w:rPr>
          <w:rFonts w:hint="eastAsia" w:ascii="仿宋_GB2312" w:eastAsia="仿宋_GB2312"/>
          <w:szCs w:val="32"/>
        </w:rPr>
        <w:t>万元</w:t>
      </w:r>
      <w:r>
        <w:rPr>
          <w:rFonts w:hint="eastAsia" w:ascii="仿宋_GB2312" w:eastAsia="仿宋_GB2312"/>
          <w:szCs w:val="32"/>
          <w:lang w:eastAsia="zh-CN"/>
        </w:rPr>
        <w:t>，占</w:t>
      </w:r>
      <w:r>
        <w:rPr>
          <w:rFonts w:hint="eastAsia" w:ascii="仿宋_GB2312" w:eastAsia="仿宋_GB2312"/>
          <w:szCs w:val="32"/>
          <w:lang w:val="en-US" w:eastAsia="zh-CN"/>
        </w:rPr>
        <w:t>3.4%；卫生健康</w:t>
      </w:r>
      <w:r>
        <w:rPr>
          <w:rFonts w:hint="eastAsia" w:ascii="仿宋_GB2312" w:eastAsia="仿宋_GB2312"/>
          <w:szCs w:val="32"/>
        </w:rPr>
        <w:t>（类）支出</w:t>
      </w:r>
      <w:r>
        <w:rPr>
          <w:rFonts w:hint="eastAsia" w:ascii="仿宋_GB2312" w:eastAsia="仿宋_GB2312"/>
          <w:szCs w:val="32"/>
          <w:lang w:val="en-US" w:eastAsia="zh-CN"/>
        </w:rPr>
        <w:t>61.7</w:t>
      </w:r>
      <w:r>
        <w:rPr>
          <w:rFonts w:hint="eastAsia" w:ascii="仿宋_GB2312" w:eastAsia="仿宋_GB2312"/>
          <w:szCs w:val="32"/>
        </w:rPr>
        <w:t>万元</w:t>
      </w:r>
      <w:r>
        <w:rPr>
          <w:rFonts w:hint="eastAsia" w:ascii="仿宋_GB2312" w:eastAsia="仿宋_GB2312"/>
          <w:szCs w:val="32"/>
          <w:lang w:eastAsia="zh-CN"/>
        </w:rPr>
        <w:t>，占</w:t>
      </w:r>
      <w:r>
        <w:rPr>
          <w:rFonts w:hint="eastAsia" w:ascii="仿宋_GB2312" w:eastAsia="仿宋_GB2312"/>
          <w:szCs w:val="32"/>
          <w:lang w:val="en-US" w:eastAsia="zh-CN"/>
        </w:rPr>
        <w:t>1.33%；城乡社区</w:t>
      </w:r>
      <w:r>
        <w:rPr>
          <w:rFonts w:hint="eastAsia" w:ascii="仿宋_GB2312" w:eastAsia="仿宋_GB2312"/>
          <w:szCs w:val="32"/>
        </w:rPr>
        <w:t>（类）支出</w:t>
      </w:r>
      <w:r>
        <w:rPr>
          <w:rFonts w:hint="eastAsia" w:ascii="仿宋_GB2312" w:eastAsia="仿宋_GB2312"/>
          <w:szCs w:val="32"/>
          <w:lang w:val="en-US" w:eastAsia="zh-CN"/>
        </w:rPr>
        <w:t>2175.78</w:t>
      </w:r>
      <w:r>
        <w:rPr>
          <w:rFonts w:hint="eastAsia" w:ascii="仿宋_GB2312" w:eastAsia="仿宋_GB2312"/>
          <w:szCs w:val="32"/>
        </w:rPr>
        <w:t>万元</w:t>
      </w:r>
      <w:r>
        <w:rPr>
          <w:rFonts w:hint="eastAsia" w:ascii="仿宋_GB2312" w:eastAsia="仿宋_GB2312"/>
          <w:szCs w:val="32"/>
          <w:lang w:val="en-US" w:eastAsia="zh-CN"/>
        </w:rPr>
        <w:t>,占47.45%；农林水</w:t>
      </w:r>
      <w:r>
        <w:rPr>
          <w:rFonts w:hint="eastAsia" w:ascii="仿宋_GB2312" w:eastAsia="仿宋_GB2312"/>
          <w:szCs w:val="32"/>
        </w:rPr>
        <w:t>（类）支出</w:t>
      </w:r>
      <w:r>
        <w:rPr>
          <w:rFonts w:hint="eastAsia" w:ascii="仿宋_GB2312" w:eastAsia="仿宋_GB2312"/>
          <w:szCs w:val="32"/>
          <w:lang w:val="en-US" w:eastAsia="zh-CN"/>
        </w:rPr>
        <w:t>1097.94</w:t>
      </w:r>
      <w:r>
        <w:rPr>
          <w:rFonts w:hint="eastAsia" w:ascii="仿宋_GB2312" w:eastAsia="仿宋_GB2312"/>
          <w:szCs w:val="32"/>
        </w:rPr>
        <w:t>万元</w:t>
      </w:r>
      <w:r>
        <w:rPr>
          <w:rFonts w:hint="eastAsia" w:ascii="仿宋_GB2312" w:eastAsia="仿宋_GB2312"/>
          <w:szCs w:val="32"/>
          <w:lang w:eastAsia="zh-CN"/>
        </w:rPr>
        <w:t>，占</w:t>
      </w:r>
      <w:r>
        <w:rPr>
          <w:rFonts w:hint="eastAsia" w:ascii="仿宋_GB2312" w:eastAsia="仿宋_GB2312"/>
          <w:szCs w:val="32"/>
          <w:lang w:val="en-US" w:eastAsia="zh-CN"/>
        </w:rPr>
        <w:t>23.94%；交通运输</w:t>
      </w:r>
      <w:r>
        <w:rPr>
          <w:rFonts w:hint="eastAsia" w:ascii="仿宋_GB2312" w:eastAsia="仿宋_GB2312"/>
          <w:szCs w:val="32"/>
        </w:rPr>
        <w:t>（类）支出</w:t>
      </w:r>
      <w:r>
        <w:rPr>
          <w:rFonts w:hint="eastAsia" w:ascii="仿宋_GB2312" w:eastAsia="仿宋_GB2312"/>
          <w:szCs w:val="32"/>
          <w:lang w:val="en-US" w:eastAsia="zh-CN"/>
        </w:rPr>
        <w:t>300</w:t>
      </w:r>
      <w:r>
        <w:rPr>
          <w:rFonts w:hint="eastAsia" w:ascii="仿宋_GB2312" w:eastAsia="仿宋_GB2312"/>
          <w:szCs w:val="32"/>
        </w:rPr>
        <w:t>万元</w:t>
      </w:r>
      <w:r>
        <w:rPr>
          <w:rFonts w:hint="eastAsia" w:ascii="仿宋_GB2312" w:eastAsia="仿宋_GB2312"/>
          <w:szCs w:val="32"/>
          <w:lang w:eastAsia="zh-CN"/>
        </w:rPr>
        <w:t>，占</w:t>
      </w:r>
      <w:r>
        <w:rPr>
          <w:rFonts w:hint="eastAsia" w:ascii="仿宋_GB2312" w:eastAsia="仿宋_GB2312"/>
          <w:szCs w:val="32"/>
          <w:lang w:val="en-US" w:eastAsia="zh-CN"/>
        </w:rPr>
        <w:t>6.54%；住房保障</w:t>
      </w:r>
      <w:r>
        <w:rPr>
          <w:rFonts w:hint="eastAsia" w:ascii="仿宋_GB2312" w:eastAsia="仿宋_GB2312"/>
          <w:szCs w:val="32"/>
        </w:rPr>
        <w:t>（类）支出</w:t>
      </w:r>
      <w:r>
        <w:rPr>
          <w:rFonts w:hint="eastAsia" w:ascii="仿宋_GB2312" w:eastAsia="仿宋_GB2312"/>
          <w:szCs w:val="32"/>
          <w:lang w:val="en-US" w:eastAsia="zh-CN"/>
        </w:rPr>
        <w:t>83.2</w:t>
      </w:r>
      <w:r>
        <w:rPr>
          <w:rFonts w:hint="eastAsia" w:ascii="仿宋_GB2312" w:eastAsia="仿宋_GB2312"/>
          <w:szCs w:val="32"/>
        </w:rPr>
        <w:t>万元，占</w:t>
      </w:r>
      <w:r>
        <w:rPr>
          <w:rFonts w:hint="eastAsia" w:ascii="仿宋_GB2312" w:eastAsia="仿宋_GB2312"/>
          <w:szCs w:val="32"/>
          <w:lang w:val="en-US" w:eastAsia="zh-CN"/>
        </w:rPr>
        <w:t>1.82</w:t>
      </w:r>
      <w:r>
        <w:rPr>
          <w:rFonts w:hint="eastAsia" w:ascii="仿宋_GB2312" w:eastAsia="仿宋_GB2312"/>
          <w:szCs w:val="32"/>
        </w:rPr>
        <w:t>%。</w:t>
      </w:r>
    </w:p>
    <w:p>
      <w:pPr>
        <w:ind w:firstLine="632" w:firstLineChars="200"/>
        <w:rPr>
          <w:rFonts w:hint="eastAsia" w:ascii="仿宋_GB2312" w:eastAsia="仿宋_GB2312"/>
          <w:szCs w:val="32"/>
          <w:lang w:eastAsia="zh-CN"/>
        </w:rPr>
      </w:pPr>
      <w:r>
        <w:rPr>
          <w:rFonts w:hint="eastAsia" w:ascii="仿宋_GB2312" w:eastAsia="仿宋_GB2312"/>
          <w:szCs w:val="32"/>
          <w:lang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ind w:firstLine="632" w:firstLineChars="200"/>
        <w:rPr>
          <w:rFonts w:ascii="楷体_GB2312" w:eastAsia="楷体_GB2312"/>
          <w:szCs w:val="32"/>
          <w:highlight w:val="none"/>
        </w:rPr>
      </w:pPr>
      <w:r>
        <w:rPr>
          <w:rFonts w:hint="eastAsia" w:ascii="楷体_GB2312" w:eastAsia="楷体_GB2312"/>
          <w:szCs w:val="32"/>
          <w:highlight w:val="none"/>
        </w:rPr>
        <w:t>（三）一般公共预算财政拨款支出决算具体情况</w:t>
      </w:r>
    </w:p>
    <w:p>
      <w:pPr>
        <w:ind w:firstLine="632" w:firstLineChars="200"/>
        <w:rPr>
          <w:rFonts w:ascii="仿宋_GB2312" w:eastAsia="仿宋_GB2312"/>
          <w:szCs w:val="32"/>
        </w:rPr>
      </w:pPr>
      <w:r>
        <w:rPr>
          <w:rFonts w:hint="eastAsia" w:ascii="仿宋_GB2312" w:eastAsia="仿宋_GB2312"/>
          <w:szCs w:val="32"/>
        </w:rPr>
        <w:t>2019年度一般公共预算财政拨款支出年初预算为</w:t>
      </w:r>
      <w:r>
        <w:rPr>
          <w:rFonts w:hint="eastAsia" w:ascii="仿宋_GB2312" w:eastAsia="仿宋_GB2312"/>
          <w:szCs w:val="32"/>
          <w:lang w:val="en-US" w:eastAsia="zh-CN"/>
        </w:rPr>
        <w:t>1245.61</w:t>
      </w:r>
      <w:r>
        <w:rPr>
          <w:rFonts w:hint="eastAsia" w:ascii="仿宋_GB2312" w:eastAsia="仿宋_GB2312"/>
          <w:szCs w:val="32"/>
        </w:rPr>
        <w:t>万元，支出决算为</w:t>
      </w:r>
      <w:r>
        <w:rPr>
          <w:rFonts w:hint="eastAsia" w:ascii="仿宋_GB2312" w:eastAsia="仿宋_GB2312"/>
          <w:szCs w:val="32"/>
          <w:lang w:val="en-US" w:eastAsia="zh-CN"/>
        </w:rPr>
        <w:t>4585.46</w:t>
      </w:r>
      <w:r>
        <w:rPr>
          <w:rFonts w:hint="eastAsia" w:ascii="仿宋_GB2312" w:eastAsia="仿宋_GB2312"/>
          <w:szCs w:val="32"/>
        </w:rPr>
        <w:t>万元，完成年初预算的</w:t>
      </w:r>
      <w:r>
        <w:rPr>
          <w:rFonts w:hint="eastAsia" w:ascii="仿宋_GB2312" w:eastAsia="仿宋_GB2312"/>
          <w:szCs w:val="32"/>
          <w:lang w:val="en-US" w:eastAsia="zh-CN"/>
        </w:rPr>
        <w:t>368.13</w:t>
      </w:r>
      <w:r>
        <w:rPr>
          <w:rFonts w:hint="eastAsia" w:ascii="仿宋_GB2312" w:eastAsia="仿宋_GB2312"/>
          <w:szCs w:val="32"/>
        </w:rPr>
        <w:t>%。决算数大于年初预算数的主要原因</w:t>
      </w:r>
      <w:r>
        <w:rPr>
          <w:rFonts w:hint="eastAsia" w:ascii="仿宋_GB2312" w:eastAsia="仿宋_GB2312"/>
          <w:szCs w:val="32"/>
          <w:lang w:eastAsia="zh-CN"/>
        </w:rPr>
        <w:t>项目支出增加</w:t>
      </w:r>
      <w:r>
        <w:rPr>
          <w:rFonts w:hint="eastAsia" w:ascii="仿宋_GB2312" w:eastAsia="仿宋_GB2312"/>
          <w:szCs w:val="32"/>
        </w:rPr>
        <w:t>。其中：</w:t>
      </w:r>
    </w:p>
    <w:p>
      <w:pPr>
        <w:numPr>
          <w:ilvl w:val="0"/>
          <w:numId w:val="1"/>
        </w:numPr>
        <w:ind w:firstLine="552" w:firstLineChars="200"/>
        <w:rPr>
          <w:rFonts w:hint="eastAsia"/>
          <w:sz w:val="28"/>
          <w:szCs w:val="36"/>
        </w:rPr>
      </w:pPr>
      <w:r>
        <w:rPr>
          <w:rFonts w:hint="eastAsia"/>
          <w:sz w:val="28"/>
          <w:szCs w:val="36"/>
        </w:rPr>
        <w:t>一般公共服务（类）政府办公厅(室)及相关机构事务（款）</w:t>
      </w:r>
      <w:r>
        <w:rPr>
          <w:rFonts w:hint="eastAsia"/>
          <w:sz w:val="28"/>
          <w:szCs w:val="36"/>
          <w:lang w:eastAsia="zh-CN"/>
        </w:rPr>
        <w:t>行政运行（项）</w:t>
      </w:r>
      <w:r>
        <w:rPr>
          <w:rFonts w:hint="eastAsia"/>
          <w:sz w:val="28"/>
          <w:szCs w:val="36"/>
        </w:rPr>
        <w:t>，主要用于党政办人员基本工资、津贴补贴、奖金、取暖费、福利费等</w:t>
      </w:r>
      <w:r>
        <w:rPr>
          <w:rFonts w:hint="eastAsia"/>
          <w:sz w:val="28"/>
          <w:szCs w:val="36"/>
          <w:lang w:eastAsia="zh-CN"/>
        </w:rPr>
        <w:t>。</w:t>
      </w:r>
      <w:r>
        <w:rPr>
          <w:rFonts w:hint="eastAsia"/>
          <w:sz w:val="28"/>
          <w:szCs w:val="36"/>
        </w:rPr>
        <w:t>年初预算为</w:t>
      </w:r>
      <w:r>
        <w:rPr>
          <w:rFonts w:hint="eastAsia"/>
          <w:sz w:val="28"/>
          <w:szCs w:val="36"/>
          <w:lang w:val="en-US" w:eastAsia="zh-CN"/>
        </w:rPr>
        <w:t>854.45</w:t>
      </w:r>
      <w:r>
        <w:rPr>
          <w:rFonts w:hint="eastAsia"/>
          <w:sz w:val="28"/>
          <w:szCs w:val="36"/>
        </w:rPr>
        <w:t>万元，支出决算为</w:t>
      </w:r>
      <w:r>
        <w:rPr>
          <w:rFonts w:hint="eastAsia"/>
          <w:sz w:val="28"/>
          <w:szCs w:val="36"/>
          <w:lang w:val="en-US" w:eastAsia="zh-CN"/>
        </w:rPr>
        <w:t>711.3</w:t>
      </w:r>
      <w:r>
        <w:rPr>
          <w:rFonts w:hint="eastAsia"/>
          <w:sz w:val="28"/>
          <w:szCs w:val="36"/>
        </w:rPr>
        <w:t>万元，完成年初预算的</w:t>
      </w:r>
      <w:r>
        <w:rPr>
          <w:rFonts w:hint="eastAsia"/>
          <w:sz w:val="28"/>
          <w:szCs w:val="36"/>
          <w:lang w:val="en-US" w:eastAsia="zh-CN"/>
        </w:rPr>
        <w:t>83.25</w:t>
      </w:r>
      <w:r>
        <w:rPr>
          <w:rFonts w:hint="eastAsia"/>
          <w:sz w:val="28"/>
          <w:szCs w:val="36"/>
        </w:rPr>
        <w:t>%。决算数</w:t>
      </w:r>
      <w:r>
        <w:rPr>
          <w:rFonts w:hint="eastAsia"/>
          <w:sz w:val="28"/>
          <w:szCs w:val="36"/>
          <w:lang w:eastAsia="zh-CN"/>
        </w:rPr>
        <w:t>小</w:t>
      </w:r>
      <w:r>
        <w:rPr>
          <w:rFonts w:hint="eastAsia"/>
          <w:sz w:val="28"/>
          <w:szCs w:val="36"/>
        </w:rPr>
        <w:t>于年初预算数主要原因是</w:t>
      </w:r>
      <w:r>
        <w:rPr>
          <w:rFonts w:hint="eastAsia"/>
          <w:sz w:val="28"/>
          <w:szCs w:val="36"/>
          <w:lang w:eastAsia="zh-CN"/>
        </w:rPr>
        <w:t>人员变动及指标增加。</w:t>
      </w:r>
    </w:p>
    <w:p>
      <w:pPr>
        <w:numPr>
          <w:ilvl w:val="0"/>
          <w:numId w:val="1"/>
        </w:numPr>
        <w:ind w:firstLine="552" w:firstLineChars="200"/>
        <w:rPr>
          <w:rFonts w:hint="eastAsia"/>
          <w:sz w:val="28"/>
          <w:szCs w:val="36"/>
        </w:rPr>
      </w:pPr>
      <w:r>
        <w:rPr>
          <w:rFonts w:hint="eastAsia"/>
          <w:sz w:val="28"/>
          <w:szCs w:val="36"/>
        </w:rPr>
        <w:t>社会保障和就业（类）人力资源和社会保障管理事务</w:t>
      </w:r>
      <w:r>
        <w:rPr>
          <w:rFonts w:hint="eastAsia"/>
          <w:sz w:val="28"/>
          <w:szCs w:val="36"/>
          <w:lang w:eastAsia="zh-CN"/>
        </w:rPr>
        <w:t>（</w:t>
      </w:r>
      <w:r>
        <w:rPr>
          <w:rFonts w:hint="eastAsia"/>
          <w:sz w:val="28"/>
          <w:szCs w:val="36"/>
        </w:rPr>
        <w:t>款</w:t>
      </w:r>
      <w:r>
        <w:rPr>
          <w:rFonts w:hint="eastAsia"/>
          <w:sz w:val="28"/>
          <w:szCs w:val="36"/>
          <w:lang w:eastAsia="zh-CN"/>
        </w:rPr>
        <w:t>）行政运行（项）</w:t>
      </w:r>
      <w:r>
        <w:rPr>
          <w:rFonts w:hint="eastAsia"/>
          <w:sz w:val="28"/>
          <w:szCs w:val="36"/>
        </w:rPr>
        <w:t>，主要用于社保中心人员基本工资、津贴补贴、奖金、取暖费、福利费等</w:t>
      </w:r>
      <w:r>
        <w:rPr>
          <w:rFonts w:hint="eastAsia"/>
          <w:sz w:val="28"/>
          <w:szCs w:val="36"/>
          <w:lang w:eastAsia="zh-CN"/>
        </w:rPr>
        <w:t>，</w:t>
      </w:r>
      <w:r>
        <w:rPr>
          <w:rFonts w:hint="eastAsia"/>
          <w:sz w:val="28"/>
          <w:szCs w:val="36"/>
        </w:rPr>
        <w:t>年初预算为</w:t>
      </w:r>
      <w:r>
        <w:rPr>
          <w:rFonts w:hint="eastAsia"/>
          <w:sz w:val="28"/>
          <w:szCs w:val="36"/>
          <w:lang w:val="en-US" w:eastAsia="zh-CN"/>
        </w:rPr>
        <w:t>58.75</w:t>
      </w:r>
      <w:r>
        <w:rPr>
          <w:rFonts w:hint="eastAsia"/>
          <w:sz w:val="28"/>
          <w:szCs w:val="36"/>
        </w:rPr>
        <w:t>万元，支出决算为</w:t>
      </w:r>
      <w:r>
        <w:rPr>
          <w:rFonts w:hint="eastAsia"/>
          <w:sz w:val="28"/>
          <w:szCs w:val="36"/>
          <w:lang w:val="en-US" w:eastAsia="zh-CN"/>
        </w:rPr>
        <w:t>156.07</w:t>
      </w:r>
      <w:r>
        <w:rPr>
          <w:rFonts w:hint="eastAsia"/>
          <w:sz w:val="28"/>
          <w:szCs w:val="36"/>
        </w:rPr>
        <w:t>万元，完成年初预算的</w:t>
      </w:r>
      <w:r>
        <w:rPr>
          <w:rFonts w:hint="eastAsia"/>
          <w:sz w:val="28"/>
          <w:szCs w:val="36"/>
          <w:lang w:val="en-US" w:eastAsia="zh-CN"/>
        </w:rPr>
        <w:t>265.65</w:t>
      </w:r>
      <w:r>
        <w:rPr>
          <w:rFonts w:hint="eastAsia"/>
          <w:sz w:val="28"/>
          <w:szCs w:val="36"/>
        </w:rPr>
        <w:t>%。决算数大于年初预算数主要原因是</w:t>
      </w:r>
      <w:r>
        <w:rPr>
          <w:rFonts w:hint="eastAsia"/>
          <w:sz w:val="28"/>
          <w:szCs w:val="36"/>
          <w:lang w:eastAsia="zh-CN"/>
        </w:rPr>
        <w:t>人员变动及指标增加。</w:t>
      </w:r>
    </w:p>
    <w:p>
      <w:pPr>
        <w:numPr>
          <w:ilvl w:val="0"/>
          <w:numId w:val="1"/>
        </w:numPr>
        <w:ind w:left="0" w:leftChars="0" w:firstLine="552" w:firstLineChars="200"/>
        <w:rPr>
          <w:rFonts w:hint="eastAsia"/>
          <w:sz w:val="28"/>
          <w:szCs w:val="36"/>
          <w:lang w:eastAsia="zh-CN"/>
        </w:rPr>
      </w:pPr>
      <w:r>
        <w:rPr>
          <w:rFonts w:hint="eastAsia"/>
          <w:sz w:val="28"/>
          <w:szCs w:val="36"/>
          <w:lang w:eastAsia="zh-CN"/>
        </w:rPr>
        <w:t>卫生健康</w:t>
      </w:r>
      <w:r>
        <w:rPr>
          <w:rFonts w:hint="eastAsia"/>
          <w:sz w:val="28"/>
          <w:szCs w:val="36"/>
        </w:rPr>
        <w:t>支出（类）计划生育</w:t>
      </w:r>
      <w:r>
        <w:rPr>
          <w:rFonts w:hint="eastAsia"/>
          <w:sz w:val="28"/>
          <w:szCs w:val="36"/>
          <w:lang w:eastAsia="zh-CN"/>
        </w:rPr>
        <w:t>事务</w:t>
      </w:r>
      <w:r>
        <w:rPr>
          <w:rFonts w:hint="eastAsia"/>
          <w:sz w:val="28"/>
          <w:szCs w:val="36"/>
        </w:rPr>
        <w:t>（款） 其他计划生育事务支出</w:t>
      </w:r>
      <w:r>
        <w:rPr>
          <w:rFonts w:hint="eastAsia"/>
          <w:sz w:val="28"/>
          <w:szCs w:val="36"/>
          <w:lang w:eastAsia="zh-CN"/>
        </w:rPr>
        <w:t>（项）</w:t>
      </w:r>
      <w:r>
        <w:rPr>
          <w:rFonts w:hint="eastAsia"/>
          <w:sz w:val="28"/>
          <w:szCs w:val="36"/>
        </w:rPr>
        <w:t>，主要用于计生中心人员基本工资、津贴补贴、奖金、取暖费、福利费等。年初预算为</w:t>
      </w:r>
      <w:r>
        <w:rPr>
          <w:rFonts w:hint="eastAsia"/>
          <w:sz w:val="28"/>
          <w:szCs w:val="36"/>
          <w:lang w:val="en-US" w:eastAsia="zh-CN"/>
        </w:rPr>
        <w:t>34.94</w:t>
      </w:r>
      <w:r>
        <w:rPr>
          <w:rFonts w:hint="eastAsia"/>
          <w:sz w:val="28"/>
          <w:szCs w:val="36"/>
        </w:rPr>
        <w:t>万元，支出决算为</w:t>
      </w:r>
      <w:r>
        <w:rPr>
          <w:rFonts w:hint="eastAsia"/>
          <w:sz w:val="28"/>
          <w:szCs w:val="36"/>
          <w:lang w:val="en-US" w:eastAsia="zh-CN"/>
        </w:rPr>
        <w:t>61.17</w:t>
      </w:r>
      <w:r>
        <w:rPr>
          <w:rFonts w:hint="eastAsia"/>
          <w:sz w:val="28"/>
          <w:szCs w:val="36"/>
        </w:rPr>
        <w:t>万元，完成年初预算的</w:t>
      </w:r>
      <w:r>
        <w:rPr>
          <w:rFonts w:hint="eastAsia"/>
          <w:sz w:val="28"/>
          <w:szCs w:val="36"/>
          <w:lang w:val="en-US" w:eastAsia="zh-CN"/>
        </w:rPr>
        <w:t>175.07</w:t>
      </w:r>
      <w:r>
        <w:rPr>
          <w:rFonts w:hint="eastAsia"/>
          <w:sz w:val="28"/>
          <w:szCs w:val="36"/>
        </w:rPr>
        <w:t>%</w:t>
      </w:r>
      <w:r>
        <w:rPr>
          <w:rFonts w:hint="eastAsia"/>
          <w:sz w:val="28"/>
          <w:szCs w:val="36"/>
          <w:lang w:eastAsia="zh-CN"/>
        </w:rPr>
        <w:t>，</w:t>
      </w:r>
      <w:r>
        <w:rPr>
          <w:rFonts w:hint="eastAsia"/>
          <w:sz w:val="28"/>
          <w:szCs w:val="36"/>
        </w:rPr>
        <w:t>决算数</w:t>
      </w:r>
      <w:r>
        <w:rPr>
          <w:rFonts w:hint="eastAsia"/>
          <w:sz w:val="28"/>
          <w:szCs w:val="36"/>
          <w:lang w:eastAsia="zh-CN"/>
        </w:rPr>
        <w:t>等于</w:t>
      </w:r>
      <w:r>
        <w:rPr>
          <w:rFonts w:hint="eastAsia"/>
          <w:sz w:val="28"/>
          <w:szCs w:val="36"/>
        </w:rPr>
        <w:t>年初预算数主要原因是</w:t>
      </w:r>
      <w:r>
        <w:rPr>
          <w:rFonts w:hint="eastAsia"/>
          <w:sz w:val="28"/>
          <w:szCs w:val="36"/>
          <w:lang w:eastAsia="zh-CN"/>
        </w:rPr>
        <w:t>人员变动及指标增加。</w:t>
      </w:r>
    </w:p>
    <w:p>
      <w:pPr>
        <w:numPr>
          <w:ilvl w:val="0"/>
          <w:numId w:val="1"/>
        </w:numPr>
        <w:ind w:left="0" w:leftChars="0" w:firstLine="552" w:firstLineChars="200"/>
        <w:jc w:val="both"/>
        <w:rPr>
          <w:rFonts w:hint="eastAsia"/>
          <w:sz w:val="28"/>
          <w:szCs w:val="36"/>
          <w:lang w:eastAsia="zh-CN"/>
        </w:rPr>
      </w:pPr>
      <w:r>
        <w:rPr>
          <w:rFonts w:hint="eastAsia"/>
          <w:sz w:val="28"/>
          <w:szCs w:val="36"/>
        </w:rPr>
        <w:t>城乡社区支出（类）城乡社区管理事</w:t>
      </w:r>
      <w:r>
        <w:rPr>
          <w:rFonts w:hint="eastAsia"/>
          <w:sz w:val="28"/>
          <w:szCs w:val="36"/>
          <w:lang w:eastAsia="zh-CN"/>
        </w:rPr>
        <w:t>务</w:t>
      </w:r>
      <w:r>
        <w:rPr>
          <w:rFonts w:hint="eastAsia"/>
          <w:sz w:val="28"/>
          <w:szCs w:val="36"/>
        </w:rPr>
        <w:t>（款）其他城乡社区管理</w:t>
      </w:r>
      <w:r>
        <w:rPr>
          <w:rFonts w:hint="eastAsia"/>
          <w:sz w:val="28"/>
          <w:szCs w:val="36"/>
          <w:lang w:eastAsia="zh-CN"/>
        </w:rPr>
        <w:t>事务</w:t>
      </w:r>
      <w:r>
        <w:rPr>
          <w:rFonts w:hint="eastAsia"/>
          <w:sz w:val="28"/>
          <w:szCs w:val="36"/>
        </w:rPr>
        <w:t>支出（项），主要用于镇村建设中心人员基本工资、津贴补贴、奖金、取暖费、福利费等。年初预算为</w:t>
      </w:r>
      <w:r>
        <w:rPr>
          <w:rFonts w:hint="eastAsia"/>
          <w:sz w:val="28"/>
          <w:szCs w:val="36"/>
          <w:lang w:val="en-US" w:eastAsia="zh-CN"/>
        </w:rPr>
        <w:t>80.76万元</w:t>
      </w:r>
      <w:r>
        <w:rPr>
          <w:rFonts w:hint="eastAsia"/>
          <w:sz w:val="28"/>
          <w:szCs w:val="36"/>
        </w:rPr>
        <w:t>，支出决算为</w:t>
      </w:r>
      <w:r>
        <w:rPr>
          <w:rFonts w:hint="eastAsia"/>
          <w:sz w:val="28"/>
          <w:szCs w:val="36"/>
          <w:lang w:val="en-US" w:eastAsia="zh-CN"/>
        </w:rPr>
        <w:t>2175.78</w:t>
      </w:r>
      <w:r>
        <w:rPr>
          <w:rFonts w:hint="eastAsia"/>
          <w:sz w:val="28"/>
          <w:szCs w:val="36"/>
        </w:rPr>
        <w:t>万元</w:t>
      </w:r>
      <w:r>
        <w:rPr>
          <w:rFonts w:hint="eastAsia"/>
          <w:sz w:val="28"/>
          <w:szCs w:val="36"/>
          <w:lang w:eastAsia="zh-CN"/>
        </w:rPr>
        <w:t>，</w:t>
      </w:r>
      <w:r>
        <w:rPr>
          <w:rFonts w:hint="eastAsia"/>
          <w:sz w:val="28"/>
          <w:szCs w:val="36"/>
        </w:rPr>
        <w:t>完成年初预算的</w:t>
      </w:r>
      <w:r>
        <w:rPr>
          <w:rFonts w:hint="eastAsia"/>
          <w:sz w:val="28"/>
          <w:szCs w:val="36"/>
          <w:lang w:val="en-US" w:eastAsia="zh-CN"/>
        </w:rPr>
        <w:t>2694.13</w:t>
      </w:r>
      <w:r>
        <w:rPr>
          <w:rFonts w:hint="eastAsia"/>
          <w:sz w:val="28"/>
          <w:szCs w:val="36"/>
        </w:rPr>
        <w:t>%。决算数大于年初预算数主要原因是</w:t>
      </w:r>
      <w:r>
        <w:rPr>
          <w:rFonts w:hint="eastAsia"/>
          <w:sz w:val="28"/>
          <w:szCs w:val="36"/>
          <w:lang w:eastAsia="zh-CN"/>
        </w:rPr>
        <w:t>人员变动及指标增加。</w:t>
      </w:r>
      <w:r>
        <w:rPr>
          <w:rFonts w:hint="eastAsia"/>
          <w:sz w:val="28"/>
          <w:szCs w:val="36"/>
          <w:lang w:val="en-US" w:eastAsia="zh-CN"/>
        </w:rPr>
        <w:t xml:space="preserve">                                                                                                                                                                                                                                                                                                                                                                                                                                                                                                                                                                                                                                                                                                                                                                                                                                                  </w:t>
      </w:r>
    </w:p>
    <w:p>
      <w:pPr>
        <w:numPr>
          <w:ilvl w:val="0"/>
          <w:numId w:val="1"/>
        </w:numPr>
        <w:ind w:firstLine="552" w:firstLineChars="200"/>
        <w:rPr>
          <w:rFonts w:hint="eastAsia"/>
          <w:sz w:val="28"/>
          <w:szCs w:val="36"/>
          <w:lang w:eastAsia="zh-CN"/>
        </w:rPr>
      </w:pPr>
      <w:r>
        <w:rPr>
          <w:rFonts w:hint="eastAsia"/>
          <w:sz w:val="28"/>
          <w:szCs w:val="36"/>
        </w:rPr>
        <w:t>农林水支出（类）其他农林水支出（款）其他农林水支出（项）</w:t>
      </w:r>
      <w:r>
        <w:rPr>
          <w:rFonts w:hint="eastAsia"/>
          <w:sz w:val="28"/>
          <w:szCs w:val="36"/>
          <w:lang w:eastAsia="zh-CN"/>
        </w:rPr>
        <w:t>，</w:t>
      </w:r>
      <w:r>
        <w:rPr>
          <w:rFonts w:hint="eastAsia"/>
          <w:sz w:val="28"/>
          <w:szCs w:val="36"/>
        </w:rPr>
        <w:t>主要用于村级一事一议支出</w:t>
      </w:r>
      <w:r>
        <w:rPr>
          <w:rFonts w:hint="eastAsia"/>
          <w:sz w:val="28"/>
          <w:szCs w:val="36"/>
          <w:lang w:eastAsia="zh-CN"/>
        </w:rPr>
        <w:t>。</w:t>
      </w:r>
      <w:r>
        <w:rPr>
          <w:rFonts w:hint="eastAsia"/>
          <w:sz w:val="28"/>
          <w:szCs w:val="36"/>
        </w:rPr>
        <w:t>年初预算为</w:t>
      </w:r>
      <w:r>
        <w:rPr>
          <w:rFonts w:hint="eastAsia"/>
          <w:sz w:val="28"/>
          <w:szCs w:val="36"/>
          <w:lang w:val="en-US" w:eastAsia="zh-CN"/>
        </w:rPr>
        <w:t>186.69万元</w:t>
      </w:r>
      <w:r>
        <w:rPr>
          <w:rFonts w:hint="eastAsia"/>
          <w:sz w:val="28"/>
          <w:szCs w:val="36"/>
        </w:rPr>
        <w:t>，支出决算为</w:t>
      </w:r>
      <w:r>
        <w:rPr>
          <w:rFonts w:hint="eastAsia"/>
          <w:sz w:val="28"/>
          <w:szCs w:val="36"/>
          <w:lang w:val="en-US" w:eastAsia="zh-CN"/>
        </w:rPr>
        <w:t>1097.94</w:t>
      </w:r>
      <w:r>
        <w:rPr>
          <w:rFonts w:hint="eastAsia"/>
          <w:sz w:val="28"/>
          <w:szCs w:val="36"/>
        </w:rPr>
        <w:t>万元</w:t>
      </w:r>
      <w:r>
        <w:rPr>
          <w:rFonts w:hint="eastAsia"/>
          <w:sz w:val="28"/>
          <w:szCs w:val="36"/>
          <w:lang w:eastAsia="zh-CN"/>
        </w:rPr>
        <w:t>，</w:t>
      </w:r>
      <w:r>
        <w:rPr>
          <w:rFonts w:hint="eastAsia"/>
          <w:sz w:val="28"/>
          <w:szCs w:val="36"/>
        </w:rPr>
        <w:t>完成年初预算的</w:t>
      </w:r>
      <w:r>
        <w:rPr>
          <w:rFonts w:hint="eastAsia"/>
          <w:sz w:val="28"/>
          <w:szCs w:val="36"/>
          <w:lang w:val="en-US" w:eastAsia="zh-CN"/>
        </w:rPr>
        <w:t>588.11</w:t>
      </w:r>
      <w:r>
        <w:rPr>
          <w:rFonts w:hint="eastAsia"/>
          <w:sz w:val="28"/>
          <w:szCs w:val="36"/>
        </w:rPr>
        <w:t>%。决算数大于年初预算数主要原因是</w:t>
      </w:r>
      <w:r>
        <w:rPr>
          <w:rFonts w:hint="eastAsia"/>
          <w:sz w:val="28"/>
          <w:szCs w:val="36"/>
          <w:lang w:eastAsia="zh-CN"/>
        </w:rPr>
        <w:t>人员变动及指标增加。</w:t>
      </w:r>
    </w:p>
    <w:p>
      <w:pPr>
        <w:numPr>
          <w:ilvl w:val="0"/>
          <w:numId w:val="1"/>
        </w:numPr>
        <w:ind w:left="0" w:leftChars="0" w:firstLine="552" w:firstLineChars="200"/>
        <w:jc w:val="both"/>
        <w:rPr>
          <w:rFonts w:hint="eastAsia"/>
          <w:sz w:val="28"/>
          <w:szCs w:val="36"/>
          <w:highlight w:val="none"/>
        </w:rPr>
      </w:pPr>
      <w:r>
        <w:rPr>
          <w:rFonts w:hint="eastAsia"/>
          <w:sz w:val="28"/>
          <w:szCs w:val="36"/>
          <w:highlight w:val="none"/>
          <w:lang w:val="en-US" w:eastAsia="zh-CN"/>
        </w:rPr>
        <w:t xml:space="preserve"> </w:t>
      </w:r>
      <w:r>
        <w:rPr>
          <w:rFonts w:hint="eastAsia"/>
          <w:sz w:val="28"/>
          <w:szCs w:val="36"/>
          <w:highlight w:val="none"/>
          <w:lang w:eastAsia="zh-CN"/>
        </w:rPr>
        <w:t>交通运输</w:t>
      </w:r>
      <w:r>
        <w:rPr>
          <w:rFonts w:hint="eastAsia"/>
          <w:sz w:val="28"/>
          <w:szCs w:val="36"/>
          <w:highlight w:val="none"/>
        </w:rPr>
        <w:t>支出（类）</w:t>
      </w:r>
      <w:r>
        <w:rPr>
          <w:rFonts w:hint="eastAsia"/>
          <w:sz w:val="28"/>
          <w:szCs w:val="36"/>
          <w:highlight w:val="none"/>
          <w:lang w:eastAsia="zh-CN"/>
        </w:rPr>
        <w:t>公路水路运输</w:t>
      </w:r>
      <w:r>
        <w:rPr>
          <w:rFonts w:hint="eastAsia"/>
          <w:sz w:val="28"/>
          <w:szCs w:val="36"/>
          <w:highlight w:val="none"/>
        </w:rPr>
        <w:t>（款）</w:t>
      </w:r>
      <w:r>
        <w:rPr>
          <w:rFonts w:hint="eastAsia"/>
          <w:sz w:val="28"/>
          <w:szCs w:val="36"/>
          <w:highlight w:val="none"/>
          <w:lang w:eastAsia="zh-CN"/>
        </w:rPr>
        <w:t>公路建设</w:t>
      </w:r>
      <w:r>
        <w:rPr>
          <w:rFonts w:hint="eastAsia"/>
          <w:sz w:val="28"/>
          <w:szCs w:val="36"/>
          <w:highlight w:val="none"/>
        </w:rPr>
        <w:t>（项），主要用于</w:t>
      </w:r>
      <w:r>
        <w:rPr>
          <w:rFonts w:hint="eastAsia"/>
          <w:sz w:val="28"/>
          <w:szCs w:val="36"/>
          <w:highlight w:val="none"/>
          <w:lang w:eastAsia="zh-CN"/>
        </w:rPr>
        <w:t>交通运输支出</w:t>
      </w:r>
      <w:r>
        <w:rPr>
          <w:rFonts w:hint="eastAsia"/>
          <w:sz w:val="28"/>
          <w:szCs w:val="36"/>
          <w:highlight w:val="none"/>
        </w:rPr>
        <w:t>。年初预算为</w:t>
      </w:r>
      <w:r>
        <w:rPr>
          <w:rFonts w:hint="eastAsia"/>
          <w:sz w:val="28"/>
          <w:szCs w:val="36"/>
          <w:highlight w:val="none"/>
          <w:lang w:val="en-US" w:eastAsia="zh-CN"/>
        </w:rPr>
        <w:t>0</w:t>
      </w:r>
      <w:r>
        <w:rPr>
          <w:rFonts w:hint="eastAsia"/>
          <w:sz w:val="28"/>
          <w:szCs w:val="36"/>
          <w:highlight w:val="none"/>
        </w:rPr>
        <w:t>，支出决算为</w:t>
      </w:r>
      <w:r>
        <w:rPr>
          <w:rFonts w:hint="eastAsia"/>
          <w:sz w:val="28"/>
          <w:szCs w:val="36"/>
          <w:highlight w:val="none"/>
          <w:lang w:val="en-US" w:eastAsia="zh-CN"/>
        </w:rPr>
        <w:t>300</w:t>
      </w:r>
      <w:r>
        <w:rPr>
          <w:rFonts w:hint="eastAsia"/>
          <w:sz w:val="28"/>
          <w:szCs w:val="36"/>
          <w:highlight w:val="none"/>
        </w:rPr>
        <w:t>万元</w:t>
      </w:r>
      <w:r>
        <w:rPr>
          <w:rFonts w:hint="eastAsia"/>
          <w:sz w:val="28"/>
          <w:szCs w:val="36"/>
          <w:highlight w:val="none"/>
          <w:lang w:eastAsia="zh-CN"/>
        </w:rPr>
        <w:t>，</w:t>
      </w:r>
      <w:r>
        <w:rPr>
          <w:rFonts w:hint="eastAsia"/>
          <w:sz w:val="28"/>
          <w:szCs w:val="36"/>
          <w:highlight w:val="none"/>
        </w:rPr>
        <w:t>决算数</w:t>
      </w:r>
      <w:r>
        <w:rPr>
          <w:rFonts w:hint="eastAsia"/>
          <w:sz w:val="28"/>
          <w:szCs w:val="36"/>
          <w:highlight w:val="none"/>
          <w:lang w:eastAsia="zh-CN"/>
        </w:rPr>
        <w:t>大于</w:t>
      </w:r>
      <w:r>
        <w:rPr>
          <w:rFonts w:hint="eastAsia"/>
          <w:sz w:val="28"/>
          <w:szCs w:val="36"/>
          <w:highlight w:val="none"/>
        </w:rPr>
        <w:t>年初预算数主要原因是</w:t>
      </w:r>
      <w:r>
        <w:rPr>
          <w:rFonts w:hint="eastAsia"/>
          <w:sz w:val="28"/>
          <w:szCs w:val="36"/>
          <w:highlight w:val="none"/>
          <w:lang w:eastAsia="zh-CN"/>
        </w:rPr>
        <w:t>交通运输支出增加。</w:t>
      </w:r>
    </w:p>
    <w:p>
      <w:pPr>
        <w:numPr>
          <w:ilvl w:val="0"/>
          <w:numId w:val="1"/>
        </w:numPr>
        <w:ind w:firstLine="552" w:firstLineChars="200"/>
        <w:rPr>
          <w:rFonts w:hint="eastAsia"/>
          <w:sz w:val="28"/>
          <w:szCs w:val="36"/>
        </w:rPr>
      </w:pPr>
      <w:r>
        <w:rPr>
          <w:rFonts w:hint="eastAsia"/>
          <w:sz w:val="28"/>
          <w:szCs w:val="36"/>
        </w:rPr>
        <w:t>住房保障支出（类）保障性安居工程支出（款）</w:t>
      </w:r>
      <w:r>
        <w:rPr>
          <w:rFonts w:hint="eastAsia"/>
          <w:sz w:val="28"/>
          <w:szCs w:val="36"/>
          <w:lang w:eastAsia="zh-CN"/>
        </w:rPr>
        <w:t>棚户区改造</w:t>
      </w:r>
      <w:r>
        <w:rPr>
          <w:rFonts w:hint="eastAsia"/>
          <w:sz w:val="28"/>
          <w:szCs w:val="36"/>
        </w:rPr>
        <w:t>（项）年初预算为</w:t>
      </w:r>
      <w:r>
        <w:rPr>
          <w:rFonts w:hint="eastAsia"/>
          <w:sz w:val="28"/>
          <w:szCs w:val="36"/>
          <w:lang w:val="en-US" w:eastAsia="zh-CN"/>
        </w:rPr>
        <w:t>0</w:t>
      </w:r>
      <w:r>
        <w:rPr>
          <w:rFonts w:hint="eastAsia"/>
          <w:sz w:val="28"/>
          <w:szCs w:val="36"/>
        </w:rPr>
        <w:t>，支出决算为</w:t>
      </w:r>
      <w:r>
        <w:rPr>
          <w:rFonts w:hint="eastAsia"/>
          <w:sz w:val="28"/>
          <w:szCs w:val="36"/>
          <w:lang w:val="en-US" w:eastAsia="zh-CN"/>
        </w:rPr>
        <w:t>83.2</w:t>
      </w:r>
      <w:r>
        <w:rPr>
          <w:rFonts w:hint="eastAsia"/>
          <w:sz w:val="28"/>
          <w:szCs w:val="36"/>
        </w:rPr>
        <w:t>万元</w:t>
      </w:r>
      <w:r>
        <w:rPr>
          <w:rFonts w:hint="eastAsia"/>
          <w:sz w:val="28"/>
          <w:szCs w:val="36"/>
          <w:lang w:eastAsia="zh-CN"/>
        </w:rPr>
        <w:t>，</w:t>
      </w:r>
      <w:r>
        <w:rPr>
          <w:rFonts w:hint="eastAsia"/>
          <w:sz w:val="28"/>
          <w:szCs w:val="36"/>
        </w:rPr>
        <w:t>决算数</w:t>
      </w:r>
      <w:r>
        <w:rPr>
          <w:rFonts w:hint="eastAsia"/>
          <w:sz w:val="28"/>
          <w:szCs w:val="36"/>
          <w:lang w:eastAsia="zh-CN"/>
        </w:rPr>
        <w:t>大于</w:t>
      </w:r>
      <w:r>
        <w:rPr>
          <w:rFonts w:hint="eastAsia"/>
          <w:sz w:val="28"/>
          <w:szCs w:val="36"/>
        </w:rPr>
        <w:t>年初预算数主要原因是</w:t>
      </w:r>
      <w:r>
        <w:rPr>
          <w:rFonts w:hint="eastAsia"/>
          <w:sz w:val="28"/>
          <w:szCs w:val="36"/>
          <w:lang w:eastAsia="zh-CN"/>
        </w:rPr>
        <w:t>棚户区改造支出增加。</w:t>
      </w:r>
    </w:p>
    <w:p>
      <w:pPr>
        <w:ind w:firstLine="632" w:firstLineChars="200"/>
        <w:rPr>
          <w:rFonts w:ascii="黑体" w:hAnsi="黑体" w:eastAsia="黑体"/>
          <w:szCs w:val="32"/>
        </w:rPr>
      </w:pPr>
      <w:r>
        <w:rPr>
          <w:rFonts w:hint="eastAsia" w:ascii="黑体" w:hAnsi="黑体" w:eastAsia="黑体"/>
          <w:szCs w:val="32"/>
        </w:rPr>
        <w:t>六、一般公共预算财政拨款基本支出决算情况说明</w:t>
      </w:r>
    </w:p>
    <w:p>
      <w:pPr>
        <w:ind w:firstLine="632" w:firstLineChars="200"/>
        <w:rPr>
          <w:rFonts w:ascii="仿宋_GB2312" w:eastAsia="仿宋_GB2312"/>
          <w:szCs w:val="32"/>
        </w:rPr>
      </w:pPr>
      <w:r>
        <w:rPr>
          <w:rFonts w:hint="eastAsia" w:ascii="仿宋_GB2312" w:eastAsia="仿宋_GB2312"/>
          <w:szCs w:val="32"/>
        </w:rPr>
        <w:t>2019年度一般公共预算财政拨款基本支出决算</w:t>
      </w:r>
      <w:r>
        <w:rPr>
          <w:rFonts w:hint="eastAsia" w:ascii="仿宋_GB2312" w:eastAsia="仿宋_GB2312"/>
          <w:szCs w:val="32"/>
          <w:lang w:val="en-US" w:eastAsia="zh-CN"/>
        </w:rPr>
        <w:t>1146.43</w:t>
      </w:r>
      <w:r>
        <w:rPr>
          <w:rFonts w:hint="eastAsia" w:ascii="仿宋_GB2312" w:eastAsia="仿宋_GB2312"/>
          <w:szCs w:val="32"/>
        </w:rPr>
        <w:t>万元，包括人员经费和公用经费，支出具体情况如下：</w:t>
      </w:r>
    </w:p>
    <w:p>
      <w:pPr>
        <w:ind w:firstLine="632" w:firstLineChars="200"/>
        <w:rPr>
          <w:rFonts w:ascii="仿宋_GB2312" w:eastAsia="仿宋_GB2312"/>
          <w:b/>
          <w:szCs w:val="32"/>
        </w:rPr>
      </w:pPr>
      <w:r>
        <w:rPr>
          <w:rFonts w:hint="eastAsia" w:ascii="仿宋_GB2312" w:eastAsia="仿宋_GB2312"/>
          <w:szCs w:val="32"/>
        </w:rPr>
        <w:t>人员经费</w:t>
      </w:r>
      <w:r>
        <w:rPr>
          <w:rFonts w:hint="eastAsia" w:ascii="仿宋_GB2312" w:eastAsia="仿宋_GB2312"/>
          <w:szCs w:val="32"/>
          <w:lang w:val="en-US" w:eastAsia="zh-CN"/>
        </w:rPr>
        <w:t>1095.82</w:t>
      </w:r>
      <w:r>
        <w:rPr>
          <w:rFonts w:hint="eastAsia" w:ascii="仿宋_GB2312" w:eastAsia="仿宋_GB2312"/>
          <w:szCs w:val="32"/>
        </w:rPr>
        <w:t>万元，主要包括：基本工资、津贴补贴、奖金</w:t>
      </w:r>
      <w:r>
        <w:rPr>
          <w:rFonts w:hint="eastAsia" w:ascii="仿宋_GB2312" w:eastAsia="仿宋_GB2312"/>
          <w:szCs w:val="32"/>
          <w:lang w:eastAsia="zh-CN"/>
        </w:rPr>
        <w:t>、绩效工资、机关事业单位基本养老保险缴费、职工基本医疗保险缴费、公务员医疗补助缴费、其他社会保障缴费、住房公积金、对个人和家庭的补助、抚恤金、生活补助</w:t>
      </w:r>
      <w:r>
        <w:rPr>
          <w:rFonts w:hint="eastAsia" w:ascii="仿宋_GB2312" w:eastAsia="仿宋_GB2312"/>
          <w:szCs w:val="32"/>
        </w:rPr>
        <w:t>。</w:t>
      </w:r>
    </w:p>
    <w:p>
      <w:pPr>
        <w:ind w:firstLine="632" w:firstLineChars="200"/>
        <w:rPr>
          <w:rFonts w:hint="eastAsia" w:ascii="仿宋_GB2312" w:eastAsia="仿宋_GB2312"/>
          <w:szCs w:val="32"/>
        </w:rPr>
      </w:pPr>
      <w:r>
        <w:rPr>
          <w:rFonts w:hint="eastAsia" w:ascii="仿宋_GB2312" w:eastAsia="仿宋_GB2312"/>
          <w:szCs w:val="32"/>
        </w:rPr>
        <w:t>公用经费</w:t>
      </w:r>
      <w:r>
        <w:rPr>
          <w:rFonts w:hint="eastAsia" w:ascii="仿宋_GB2312" w:eastAsia="仿宋_GB2312"/>
          <w:szCs w:val="32"/>
          <w:lang w:val="en-US" w:eastAsia="zh-CN"/>
        </w:rPr>
        <w:t>50.61</w:t>
      </w:r>
      <w:r>
        <w:rPr>
          <w:rFonts w:hint="eastAsia" w:ascii="仿宋_GB2312" w:eastAsia="仿宋_GB2312"/>
          <w:szCs w:val="32"/>
        </w:rPr>
        <w:t>万元，主要包括：办公费、</w:t>
      </w:r>
      <w:r>
        <w:rPr>
          <w:rFonts w:hint="eastAsia" w:ascii="仿宋_GB2312" w:eastAsia="仿宋_GB2312"/>
          <w:szCs w:val="32"/>
          <w:lang w:eastAsia="zh-CN"/>
        </w:rPr>
        <w:t>水</w:t>
      </w:r>
      <w:r>
        <w:rPr>
          <w:rFonts w:hint="eastAsia" w:ascii="仿宋_GB2312" w:eastAsia="仿宋_GB2312"/>
          <w:szCs w:val="32"/>
        </w:rPr>
        <w:t>费、</w:t>
      </w:r>
      <w:r>
        <w:rPr>
          <w:rFonts w:hint="eastAsia" w:ascii="仿宋_GB2312" w:eastAsia="仿宋_GB2312"/>
          <w:szCs w:val="32"/>
          <w:lang w:eastAsia="zh-CN"/>
        </w:rPr>
        <w:t>电</w:t>
      </w:r>
      <w:r>
        <w:rPr>
          <w:rFonts w:hint="eastAsia" w:ascii="仿宋_GB2312" w:eastAsia="仿宋_GB2312"/>
          <w:szCs w:val="32"/>
        </w:rPr>
        <w:t>费</w:t>
      </w:r>
      <w:r>
        <w:rPr>
          <w:rFonts w:hint="eastAsia" w:ascii="仿宋_GB2312" w:eastAsia="仿宋_GB2312"/>
          <w:szCs w:val="32"/>
          <w:lang w:eastAsia="zh-CN"/>
        </w:rPr>
        <w:t>、邮电费、取暖费、维修（护）费、公务接待费、福利费、公务用车运行维护费</w:t>
      </w:r>
      <w:r>
        <w:rPr>
          <w:rFonts w:hint="eastAsia" w:ascii="仿宋_GB2312" w:eastAsia="仿宋_GB2312"/>
          <w:szCs w:val="32"/>
        </w:rPr>
        <w:t>。</w:t>
      </w:r>
    </w:p>
    <w:p>
      <w:pPr>
        <w:ind w:firstLine="632" w:firstLineChars="200"/>
        <w:rPr>
          <w:rFonts w:ascii="黑体" w:hAnsi="黑体" w:eastAsia="黑体"/>
          <w:szCs w:val="32"/>
        </w:rPr>
      </w:pPr>
      <w:r>
        <w:rPr>
          <w:rFonts w:hint="eastAsia" w:ascii="黑体" w:hAnsi="黑体" w:eastAsia="黑体"/>
          <w:szCs w:val="32"/>
        </w:rPr>
        <w:t>七、一般公共预算财政拨款“三公”经费支出决算情况说明</w:t>
      </w:r>
    </w:p>
    <w:p>
      <w:pPr>
        <w:ind w:firstLine="632" w:firstLineChars="200"/>
        <w:rPr>
          <w:rFonts w:ascii="楷体_GB2312" w:eastAsia="楷体_GB2312"/>
          <w:szCs w:val="32"/>
        </w:rPr>
      </w:pPr>
      <w:r>
        <w:rPr>
          <w:rFonts w:hint="eastAsia" w:ascii="楷体_GB2312" w:eastAsia="楷体_GB2312"/>
          <w:szCs w:val="32"/>
        </w:rPr>
        <w:t>（一）“三公”经费支出决算总体情况及增减变动原因</w:t>
      </w:r>
    </w:p>
    <w:p>
      <w:pPr>
        <w:ind w:firstLine="632" w:firstLineChars="200"/>
        <w:rPr>
          <w:rFonts w:ascii="仿宋_GB2312" w:eastAsia="仿宋_GB2312"/>
          <w:szCs w:val="32"/>
        </w:rPr>
      </w:pPr>
      <w:r>
        <w:rPr>
          <w:rFonts w:hint="eastAsia" w:ascii="仿宋_GB2312" w:hAnsi="宋体" w:eastAsia="仿宋_GB2312" w:cs="Courier New"/>
          <w:szCs w:val="32"/>
        </w:rPr>
        <w:t>一般公共预算财政拨款“三公”经费支出范围</w:t>
      </w:r>
      <w:r>
        <w:rPr>
          <w:rFonts w:hint="eastAsia" w:ascii="仿宋_GB2312" w:hAnsi="宋体" w:eastAsia="仿宋_GB2312" w:cs="Courier New"/>
          <w:szCs w:val="32"/>
          <w:lang w:eastAsia="zh-CN"/>
        </w:rPr>
        <w:t>包括威海市文登区张家产镇人民政府</w:t>
      </w:r>
      <w:r>
        <w:rPr>
          <w:rFonts w:hint="eastAsia" w:ascii="仿宋_GB2312" w:hAnsi="宋体" w:eastAsia="仿宋_GB2312" w:cs="Courier New"/>
          <w:szCs w:val="32"/>
        </w:rPr>
        <w:t>，共</w:t>
      </w:r>
      <w:r>
        <w:rPr>
          <w:rFonts w:hint="eastAsia" w:ascii="仿宋_GB2312" w:hAnsi="宋体" w:eastAsia="仿宋_GB2312" w:cs="Courier New"/>
          <w:szCs w:val="32"/>
          <w:lang w:val="en-US" w:eastAsia="zh-CN"/>
        </w:rPr>
        <w:t>1</w:t>
      </w:r>
      <w:r>
        <w:rPr>
          <w:rFonts w:hint="eastAsia" w:ascii="仿宋_GB2312" w:hAnsi="宋体" w:eastAsia="仿宋_GB2312" w:cs="Courier New"/>
          <w:szCs w:val="32"/>
        </w:rPr>
        <w:t>个预算单位。</w:t>
      </w:r>
      <w:r>
        <w:rPr>
          <w:rFonts w:hint="eastAsia" w:ascii="仿宋_GB2312" w:eastAsia="仿宋_GB2312"/>
          <w:szCs w:val="32"/>
        </w:rPr>
        <w:t>2019年度一般公共预算财政拨款“三公”经费决算数为</w:t>
      </w:r>
      <w:r>
        <w:rPr>
          <w:rFonts w:hint="eastAsia" w:ascii="仿宋_GB2312" w:eastAsia="仿宋_GB2312"/>
          <w:szCs w:val="32"/>
          <w:lang w:val="en-US" w:eastAsia="zh-CN"/>
        </w:rPr>
        <w:t>12.12</w:t>
      </w:r>
      <w:r>
        <w:rPr>
          <w:rFonts w:hint="eastAsia" w:ascii="仿宋_GB2312" w:eastAsia="仿宋_GB2312"/>
          <w:szCs w:val="32"/>
        </w:rPr>
        <w:t>万元，完成年初预算的</w:t>
      </w:r>
      <w:r>
        <w:rPr>
          <w:rFonts w:hint="eastAsia" w:ascii="仿宋_GB2312" w:eastAsia="仿宋_GB2312"/>
          <w:szCs w:val="32"/>
          <w:lang w:val="en-US" w:eastAsia="zh-CN"/>
        </w:rPr>
        <w:t>77.69</w:t>
      </w:r>
      <w:r>
        <w:rPr>
          <w:rFonts w:hint="eastAsia" w:ascii="仿宋_GB2312" w:eastAsia="仿宋_GB2312"/>
          <w:szCs w:val="32"/>
        </w:rPr>
        <w:t>%，其中：因公出国（境）费</w:t>
      </w:r>
      <w:r>
        <w:rPr>
          <w:rFonts w:hint="eastAsia" w:ascii="仿宋_GB2312" w:eastAsia="仿宋_GB2312"/>
          <w:szCs w:val="32"/>
          <w:lang w:val="en-US" w:eastAsia="zh-CN"/>
        </w:rPr>
        <w:t>0</w:t>
      </w:r>
      <w:r>
        <w:rPr>
          <w:rFonts w:hint="eastAsia" w:ascii="仿宋_GB2312" w:eastAsia="仿宋_GB2312"/>
          <w:szCs w:val="32"/>
        </w:rPr>
        <w:t>万元，完成年初预算的</w:t>
      </w:r>
      <w:r>
        <w:rPr>
          <w:rFonts w:hint="eastAsia" w:ascii="仿宋_GB2312" w:eastAsia="仿宋_GB2312"/>
          <w:szCs w:val="32"/>
          <w:lang w:val="en-US" w:eastAsia="zh-CN"/>
        </w:rPr>
        <w:t>100</w:t>
      </w:r>
      <w:r>
        <w:rPr>
          <w:rFonts w:hint="eastAsia" w:ascii="仿宋_GB2312" w:eastAsia="仿宋_GB2312"/>
          <w:szCs w:val="32"/>
        </w:rPr>
        <w:t xml:space="preserve"> %；公务用车购置及运行维护费</w:t>
      </w:r>
      <w:r>
        <w:rPr>
          <w:rFonts w:hint="eastAsia" w:ascii="仿宋_GB2312" w:eastAsia="仿宋_GB2312"/>
          <w:szCs w:val="32"/>
          <w:lang w:val="en-US" w:eastAsia="zh-CN"/>
        </w:rPr>
        <w:t>12</w:t>
      </w:r>
      <w:r>
        <w:rPr>
          <w:rFonts w:hint="eastAsia" w:ascii="仿宋_GB2312" w:eastAsia="仿宋_GB2312"/>
          <w:szCs w:val="32"/>
        </w:rPr>
        <w:t>万元，完成年初预算的</w:t>
      </w:r>
      <w:r>
        <w:rPr>
          <w:rFonts w:hint="eastAsia" w:ascii="仿宋_GB2312" w:eastAsia="仿宋_GB2312"/>
          <w:szCs w:val="32"/>
          <w:lang w:val="en-US" w:eastAsia="zh-CN"/>
        </w:rPr>
        <w:t>95.24</w:t>
      </w:r>
      <w:r>
        <w:rPr>
          <w:rFonts w:hint="eastAsia" w:ascii="仿宋_GB2312" w:eastAsia="仿宋_GB2312"/>
          <w:szCs w:val="32"/>
        </w:rPr>
        <w:t>%；公务接待费</w:t>
      </w:r>
      <w:r>
        <w:rPr>
          <w:rFonts w:hint="eastAsia" w:ascii="仿宋_GB2312" w:eastAsia="仿宋_GB2312"/>
          <w:szCs w:val="32"/>
          <w:lang w:val="en-US" w:eastAsia="zh-CN"/>
        </w:rPr>
        <w:t>0.12</w:t>
      </w:r>
      <w:r>
        <w:rPr>
          <w:rFonts w:hint="eastAsia" w:ascii="仿宋_GB2312" w:eastAsia="仿宋_GB2312"/>
          <w:szCs w:val="32"/>
        </w:rPr>
        <w:t>万元，完成年初预算的</w:t>
      </w:r>
      <w:r>
        <w:rPr>
          <w:rFonts w:hint="eastAsia" w:ascii="仿宋_GB2312" w:eastAsia="仿宋_GB2312"/>
          <w:szCs w:val="32"/>
          <w:lang w:val="en-US" w:eastAsia="zh-CN"/>
        </w:rPr>
        <w:t>4</w:t>
      </w:r>
      <w:r>
        <w:rPr>
          <w:rFonts w:hint="eastAsia" w:ascii="仿宋_GB2312" w:eastAsia="仿宋_GB2312"/>
          <w:szCs w:val="32"/>
        </w:rPr>
        <w:t>%。</w:t>
      </w:r>
    </w:p>
    <w:p>
      <w:pPr>
        <w:ind w:firstLine="632" w:firstLineChars="200"/>
        <w:rPr>
          <w:rFonts w:hint="eastAsia" w:ascii="仿宋_GB2312" w:eastAsia="仿宋_GB2312"/>
          <w:szCs w:val="32"/>
        </w:rPr>
      </w:pPr>
      <w:r>
        <w:rPr>
          <w:rFonts w:hint="eastAsia" w:ascii="仿宋_GB2312" w:eastAsia="仿宋_GB2312"/>
          <w:szCs w:val="32"/>
        </w:rPr>
        <w:t>2019年“三公”经费决算比年初预算数减少</w:t>
      </w:r>
      <w:r>
        <w:rPr>
          <w:rFonts w:hint="eastAsia" w:ascii="仿宋_GB2312" w:eastAsia="仿宋_GB2312"/>
          <w:szCs w:val="32"/>
          <w:lang w:val="en-US" w:eastAsia="zh-CN"/>
        </w:rPr>
        <w:t>3.48</w:t>
      </w:r>
      <w:r>
        <w:rPr>
          <w:rFonts w:hint="eastAsia" w:ascii="仿宋_GB2312" w:eastAsia="仿宋_GB2312"/>
          <w:szCs w:val="32"/>
        </w:rPr>
        <w:t>万元，主要原因是</w:t>
      </w:r>
      <w:r>
        <w:rPr>
          <w:rFonts w:hint="eastAsia" w:ascii="仿宋_GB2312" w:eastAsia="仿宋_GB2312"/>
          <w:szCs w:val="32"/>
          <w:lang w:eastAsia="zh-CN"/>
        </w:rPr>
        <w:t>公务接待费支出减少</w:t>
      </w:r>
      <w:r>
        <w:rPr>
          <w:rFonts w:hint="eastAsia" w:ascii="仿宋_GB2312" w:eastAsia="仿宋_GB2312"/>
          <w:szCs w:val="32"/>
        </w:rPr>
        <w:t>。其中：因公出国（境）费与2019年预算持平、公务用车购置及运行费与2019年预算基本持平、公务接待费减少</w:t>
      </w:r>
      <w:r>
        <w:rPr>
          <w:rFonts w:hint="eastAsia" w:ascii="仿宋_GB2312" w:eastAsia="仿宋_GB2312"/>
          <w:szCs w:val="32"/>
          <w:lang w:val="en-US" w:eastAsia="zh-CN"/>
        </w:rPr>
        <w:t>2.88</w:t>
      </w:r>
      <w:r>
        <w:rPr>
          <w:rFonts w:hint="eastAsia" w:ascii="仿宋_GB2312" w:eastAsia="仿宋_GB2312"/>
          <w:szCs w:val="32"/>
        </w:rPr>
        <w:t>万元。公务接待费减少的主要原因是</w:t>
      </w:r>
      <w:r>
        <w:rPr>
          <w:rFonts w:hint="eastAsia" w:ascii="仿宋_GB2312" w:eastAsia="仿宋_GB2312"/>
          <w:szCs w:val="32"/>
          <w:lang w:val="en-US" w:eastAsia="zh-CN"/>
        </w:rPr>
        <w:t>严格执行国家八项规定，大力压缩公务接待费开支，严格接待费开支审批手续，对没有来函的公务活动一律不接待</w:t>
      </w:r>
      <w:r>
        <w:rPr>
          <w:rFonts w:hint="eastAsia" w:ascii="仿宋_GB2312" w:eastAsia="仿宋_GB2312"/>
          <w:szCs w:val="32"/>
        </w:rPr>
        <w:t>。</w:t>
      </w:r>
    </w:p>
    <w:p>
      <w:pPr>
        <w:ind w:firstLine="632" w:firstLineChars="200"/>
        <w:rPr>
          <w:rFonts w:ascii="楷体_GB2312" w:eastAsia="楷体_GB2312"/>
          <w:szCs w:val="32"/>
        </w:rPr>
      </w:pPr>
      <w:r>
        <w:rPr>
          <w:rFonts w:hint="eastAsia" w:ascii="楷体_GB2312" w:eastAsia="楷体_GB2312"/>
          <w:szCs w:val="32"/>
        </w:rPr>
        <w:t>（二）“三公”经费支出决算具体情况</w:t>
      </w:r>
    </w:p>
    <w:p>
      <w:pPr>
        <w:ind w:firstLine="632" w:firstLineChars="200"/>
        <w:rPr>
          <w:rFonts w:hint="eastAsia" w:ascii="仿宋_GB2312" w:eastAsia="仿宋_GB2312"/>
          <w:szCs w:val="32"/>
        </w:rPr>
      </w:pPr>
      <w:r>
        <w:rPr>
          <w:rFonts w:hint="eastAsia" w:ascii="仿宋_GB2312" w:eastAsia="仿宋_GB2312"/>
          <w:szCs w:val="32"/>
        </w:rPr>
        <w:t>1、因公出国（境）费决算数为</w:t>
      </w:r>
      <w:r>
        <w:rPr>
          <w:rFonts w:hint="eastAsia" w:ascii="仿宋_GB2312" w:eastAsia="仿宋_GB2312"/>
          <w:szCs w:val="32"/>
          <w:lang w:val="en-US" w:eastAsia="zh-CN"/>
        </w:rPr>
        <w:t>0</w:t>
      </w:r>
      <w:r>
        <w:rPr>
          <w:rFonts w:hint="eastAsia" w:ascii="仿宋_GB2312" w:eastAsia="仿宋_GB2312"/>
          <w:szCs w:val="32"/>
        </w:rPr>
        <w:t>万元，占一般公共预算财政拨款“三公”经费总数的</w:t>
      </w:r>
      <w:r>
        <w:rPr>
          <w:rFonts w:hint="eastAsia" w:ascii="仿宋_GB2312" w:eastAsia="仿宋_GB2312"/>
          <w:szCs w:val="32"/>
          <w:lang w:val="en-US" w:eastAsia="zh-CN"/>
        </w:rPr>
        <w:t>0</w:t>
      </w:r>
      <w:r>
        <w:rPr>
          <w:rFonts w:hint="eastAsia" w:ascii="仿宋_GB2312" w:eastAsia="仿宋_GB2312"/>
          <w:szCs w:val="32"/>
        </w:rPr>
        <w:t>%。2019年使用财政拨款安排</w:t>
      </w:r>
      <w:r>
        <w:rPr>
          <w:rFonts w:hint="eastAsia" w:ascii="仿宋_GB2312" w:eastAsia="仿宋_GB2312"/>
          <w:szCs w:val="32"/>
          <w:lang w:val="en-US" w:eastAsia="zh-CN"/>
        </w:rPr>
        <w:t>0</w:t>
      </w:r>
      <w:r>
        <w:rPr>
          <w:rFonts w:hint="eastAsia" w:ascii="仿宋_GB2312" w:eastAsia="仿宋_GB2312"/>
          <w:szCs w:val="32"/>
        </w:rPr>
        <w:t>等单位，因公出国（境）团组</w:t>
      </w:r>
      <w:r>
        <w:rPr>
          <w:rFonts w:hint="eastAsia" w:ascii="仿宋_GB2312" w:eastAsia="仿宋_GB2312"/>
          <w:szCs w:val="32"/>
          <w:lang w:val="en-US" w:eastAsia="zh-CN"/>
        </w:rPr>
        <w:t>0</w:t>
      </w:r>
      <w:r>
        <w:rPr>
          <w:rFonts w:hint="eastAsia" w:ascii="仿宋_GB2312" w:eastAsia="仿宋_GB2312"/>
          <w:szCs w:val="32"/>
        </w:rPr>
        <w:t>个,累计</w:t>
      </w:r>
      <w:r>
        <w:rPr>
          <w:rFonts w:hint="eastAsia" w:ascii="仿宋_GB2312" w:eastAsia="仿宋_GB2312"/>
          <w:szCs w:val="32"/>
          <w:lang w:val="en-US" w:eastAsia="zh-CN"/>
        </w:rPr>
        <w:t>0</w:t>
      </w:r>
      <w:r>
        <w:rPr>
          <w:rFonts w:hint="eastAsia" w:ascii="仿宋_GB2312" w:eastAsia="仿宋_GB2312"/>
          <w:szCs w:val="32"/>
        </w:rPr>
        <w:t>人次。</w:t>
      </w:r>
    </w:p>
    <w:p>
      <w:pPr>
        <w:ind w:firstLine="632" w:firstLineChars="200"/>
        <w:rPr>
          <w:rFonts w:ascii="仿宋_GB2312" w:eastAsia="仿宋_GB2312"/>
          <w:szCs w:val="32"/>
        </w:rPr>
      </w:pPr>
      <w:r>
        <w:rPr>
          <w:rFonts w:hint="eastAsia" w:ascii="仿宋_GB2312" w:eastAsia="仿宋_GB2312"/>
          <w:szCs w:val="32"/>
        </w:rPr>
        <w:t>2、公务用车购置及运行维护费决算数为</w:t>
      </w:r>
      <w:r>
        <w:rPr>
          <w:rFonts w:hint="eastAsia" w:ascii="仿宋_GB2312" w:eastAsia="仿宋_GB2312"/>
          <w:szCs w:val="32"/>
          <w:lang w:val="en-US" w:eastAsia="zh-CN"/>
        </w:rPr>
        <w:t>12</w:t>
      </w:r>
      <w:r>
        <w:rPr>
          <w:rFonts w:hint="eastAsia" w:ascii="仿宋_GB2312" w:eastAsia="仿宋_GB2312"/>
          <w:szCs w:val="32"/>
        </w:rPr>
        <w:t>万元，占一般公共预算财政拨款“三公”经费总数的</w:t>
      </w:r>
      <w:r>
        <w:rPr>
          <w:rFonts w:hint="eastAsia" w:ascii="仿宋_GB2312" w:eastAsia="仿宋_GB2312"/>
          <w:szCs w:val="32"/>
          <w:lang w:val="en-US" w:eastAsia="zh-CN"/>
        </w:rPr>
        <w:t>99.01</w:t>
      </w:r>
      <w:r>
        <w:rPr>
          <w:rFonts w:hint="eastAsia" w:ascii="仿宋_GB2312" w:eastAsia="仿宋_GB2312"/>
          <w:szCs w:val="32"/>
        </w:rPr>
        <w:t>%。其中：公务用车购置费支出</w:t>
      </w:r>
      <w:r>
        <w:rPr>
          <w:rFonts w:hint="eastAsia" w:ascii="仿宋_GB2312" w:eastAsia="仿宋_GB2312"/>
          <w:szCs w:val="32"/>
          <w:lang w:val="en-US" w:eastAsia="zh-CN"/>
        </w:rPr>
        <w:t>0</w:t>
      </w:r>
      <w:r>
        <w:rPr>
          <w:rFonts w:hint="eastAsia" w:ascii="仿宋_GB2312" w:eastAsia="仿宋_GB2312"/>
          <w:szCs w:val="32"/>
        </w:rPr>
        <w:t>万元，2019年</w:t>
      </w:r>
      <w:r>
        <w:rPr>
          <w:rFonts w:hint="eastAsia" w:ascii="仿宋_GB2312" w:eastAsia="仿宋_GB2312"/>
          <w:szCs w:val="32"/>
          <w:lang w:val="en-US" w:eastAsia="zh-CN"/>
        </w:rPr>
        <w:t>0</w:t>
      </w:r>
      <w:r>
        <w:rPr>
          <w:rFonts w:hint="eastAsia" w:ascii="仿宋_GB2312" w:eastAsia="仿宋_GB2312"/>
          <w:szCs w:val="32"/>
        </w:rPr>
        <w:t>等单位使用财政拨款购置公务用车</w:t>
      </w:r>
      <w:r>
        <w:rPr>
          <w:rFonts w:hint="eastAsia" w:ascii="仿宋_GB2312" w:eastAsia="仿宋_GB2312"/>
          <w:szCs w:val="32"/>
          <w:lang w:val="en-US" w:eastAsia="zh-CN"/>
        </w:rPr>
        <w:t>0</w:t>
      </w:r>
      <w:r>
        <w:rPr>
          <w:rFonts w:hint="eastAsia" w:ascii="仿宋_GB2312" w:eastAsia="仿宋_GB2312"/>
          <w:szCs w:val="32"/>
        </w:rPr>
        <w:t>辆；公务用车运行维护费</w:t>
      </w:r>
      <w:r>
        <w:rPr>
          <w:rFonts w:hint="eastAsia" w:ascii="仿宋_GB2312" w:eastAsia="仿宋_GB2312"/>
          <w:szCs w:val="32"/>
          <w:lang w:val="en-US" w:eastAsia="zh-CN"/>
        </w:rPr>
        <w:t>12</w:t>
      </w:r>
      <w:r>
        <w:rPr>
          <w:rFonts w:hint="eastAsia" w:ascii="仿宋_GB2312" w:eastAsia="仿宋_GB2312"/>
          <w:szCs w:val="32"/>
        </w:rPr>
        <w:t>万元，主要用于</w:t>
      </w:r>
      <w:r>
        <w:rPr>
          <w:rFonts w:hint="eastAsia" w:ascii="仿宋_GB2312" w:eastAsia="仿宋_GB2312"/>
          <w:szCs w:val="32"/>
          <w:lang w:eastAsia="zh-CN"/>
        </w:rPr>
        <w:t>车辆保险、加油、维修</w:t>
      </w:r>
      <w:r>
        <w:rPr>
          <w:rFonts w:hint="eastAsia" w:ascii="仿宋_GB2312" w:eastAsia="仿宋_GB2312"/>
          <w:szCs w:val="32"/>
        </w:rPr>
        <w:t>。2019年</w:t>
      </w:r>
      <w:r>
        <w:rPr>
          <w:rFonts w:hint="eastAsia" w:ascii="仿宋_GB2312" w:eastAsia="仿宋_GB2312"/>
          <w:szCs w:val="32"/>
          <w:lang w:eastAsia="zh-CN"/>
        </w:rPr>
        <w:t>威海市文登区张家产镇人民政府</w:t>
      </w:r>
      <w:r>
        <w:rPr>
          <w:rFonts w:hint="eastAsia" w:ascii="仿宋_GB2312" w:eastAsia="仿宋_GB2312"/>
          <w:szCs w:val="32"/>
        </w:rPr>
        <w:t>财政拨款开支运行维护费的公务用车保有量为</w:t>
      </w:r>
      <w:r>
        <w:rPr>
          <w:rFonts w:hint="eastAsia" w:ascii="仿宋_GB2312" w:eastAsia="仿宋_GB2312"/>
          <w:szCs w:val="32"/>
          <w:lang w:val="en-US" w:eastAsia="zh-CN"/>
        </w:rPr>
        <w:t>17</w:t>
      </w:r>
      <w:r>
        <w:rPr>
          <w:rFonts w:hint="eastAsia" w:ascii="仿宋_GB2312" w:eastAsia="仿宋_GB2312"/>
          <w:szCs w:val="32"/>
          <w:highlight w:val="none"/>
        </w:rPr>
        <w:t>辆</w:t>
      </w:r>
      <w:r>
        <w:rPr>
          <w:rFonts w:hint="eastAsia" w:ascii="仿宋_GB2312" w:eastAsia="仿宋_GB2312"/>
          <w:szCs w:val="32"/>
        </w:rPr>
        <w:t>。</w:t>
      </w:r>
    </w:p>
    <w:p>
      <w:pPr>
        <w:ind w:firstLine="632" w:firstLineChars="200"/>
        <w:rPr>
          <w:rFonts w:ascii="仿宋_GB2312" w:eastAsia="仿宋_GB2312"/>
          <w:szCs w:val="32"/>
        </w:rPr>
      </w:pPr>
      <w:r>
        <w:rPr>
          <w:rFonts w:hint="eastAsia" w:ascii="仿宋_GB2312" w:eastAsia="仿宋_GB2312"/>
          <w:szCs w:val="32"/>
        </w:rPr>
        <w:t>3、公务接待费决算数为</w:t>
      </w:r>
      <w:r>
        <w:rPr>
          <w:rFonts w:hint="eastAsia" w:ascii="仿宋_GB2312" w:eastAsia="仿宋_GB2312"/>
          <w:szCs w:val="32"/>
          <w:lang w:val="en-US" w:eastAsia="zh-CN"/>
        </w:rPr>
        <w:t>0.12</w:t>
      </w:r>
      <w:r>
        <w:rPr>
          <w:rFonts w:hint="eastAsia" w:ascii="仿宋_GB2312" w:eastAsia="仿宋_GB2312"/>
          <w:szCs w:val="32"/>
        </w:rPr>
        <w:t>万元，占一般公共预算财政拨款“三公”经费总数的</w:t>
      </w:r>
      <w:r>
        <w:rPr>
          <w:rFonts w:hint="eastAsia" w:ascii="仿宋_GB2312" w:eastAsia="仿宋_GB2312"/>
          <w:szCs w:val="32"/>
          <w:lang w:val="en-US" w:eastAsia="zh-CN"/>
        </w:rPr>
        <w:t>0.99</w:t>
      </w:r>
      <w:r>
        <w:rPr>
          <w:rFonts w:hint="eastAsia" w:ascii="仿宋_GB2312" w:eastAsia="仿宋_GB2312"/>
          <w:szCs w:val="32"/>
        </w:rPr>
        <w:t>%。其中：</w:t>
      </w:r>
      <w:r>
        <w:rPr>
          <w:rFonts w:hint="eastAsia" w:ascii="仿宋_GB2312" w:eastAsia="仿宋_GB2312"/>
          <w:szCs w:val="32"/>
          <w:lang w:eastAsia="zh-CN"/>
        </w:rPr>
        <w:t>全部为</w:t>
      </w:r>
      <w:r>
        <w:rPr>
          <w:rFonts w:hint="eastAsia" w:ascii="仿宋_GB2312" w:eastAsia="仿宋_GB2312"/>
          <w:szCs w:val="32"/>
        </w:rPr>
        <w:t>国内接待费</w:t>
      </w:r>
      <w:r>
        <w:rPr>
          <w:rFonts w:hint="eastAsia" w:ascii="仿宋_GB2312" w:eastAsia="仿宋_GB2312"/>
          <w:szCs w:val="32"/>
          <w:lang w:val="en-US" w:eastAsia="zh-CN"/>
        </w:rPr>
        <w:t>0.12</w:t>
      </w:r>
      <w:r>
        <w:rPr>
          <w:rFonts w:hint="eastAsia" w:ascii="仿宋_GB2312" w:eastAsia="仿宋_GB2312"/>
          <w:szCs w:val="32"/>
        </w:rPr>
        <w:t>万元，主要用于</w:t>
      </w:r>
      <w:r>
        <w:rPr>
          <w:rFonts w:hint="eastAsia" w:ascii="仿宋_GB2312" w:eastAsia="仿宋_GB2312"/>
          <w:szCs w:val="32"/>
          <w:lang w:eastAsia="zh-CN"/>
        </w:rPr>
        <w:t>接待</w:t>
      </w:r>
      <w:r>
        <w:rPr>
          <w:rFonts w:hint="eastAsia" w:ascii="仿宋_GB2312" w:eastAsia="仿宋_GB2312"/>
          <w:szCs w:val="32"/>
          <w:lang w:val="en-US" w:eastAsia="zh-CN"/>
        </w:rPr>
        <w:t>CCTV7《聚焦三农》栏目组5名工作人员、上海华智汇投资管理咨询有限公司上海台湾连锁加盟生产商务中心2名贵宾</w:t>
      </w:r>
      <w:r>
        <w:rPr>
          <w:rFonts w:hint="eastAsia" w:ascii="仿宋_GB2312" w:eastAsia="仿宋_GB2312"/>
          <w:szCs w:val="32"/>
        </w:rPr>
        <w:t>，共计接待</w:t>
      </w:r>
      <w:r>
        <w:rPr>
          <w:rFonts w:hint="eastAsia" w:ascii="仿宋_GB2312" w:eastAsia="仿宋_GB2312"/>
          <w:szCs w:val="32"/>
          <w:lang w:val="en-US" w:eastAsia="zh-CN"/>
        </w:rPr>
        <w:t>2</w:t>
      </w:r>
      <w:r>
        <w:rPr>
          <w:rFonts w:hint="eastAsia" w:ascii="仿宋_GB2312" w:eastAsia="仿宋_GB2312"/>
          <w:szCs w:val="32"/>
        </w:rPr>
        <w:t>批次、</w:t>
      </w:r>
      <w:r>
        <w:rPr>
          <w:rFonts w:hint="eastAsia" w:ascii="仿宋_GB2312" w:eastAsia="仿宋_GB2312"/>
          <w:szCs w:val="32"/>
          <w:lang w:val="en-US" w:eastAsia="zh-CN"/>
        </w:rPr>
        <w:t>7</w:t>
      </w:r>
      <w:r>
        <w:rPr>
          <w:rFonts w:hint="eastAsia" w:ascii="仿宋_GB2312" w:eastAsia="仿宋_GB2312"/>
          <w:szCs w:val="32"/>
        </w:rPr>
        <w:t>人次（含外事接待</w:t>
      </w:r>
      <w:r>
        <w:rPr>
          <w:rFonts w:hint="eastAsia" w:ascii="仿宋_GB2312" w:eastAsia="仿宋_GB2312"/>
          <w:szCs w:val="32"/>
          <w:lang w:val="en-US" w:eastAsia="zh-CN"/>
        </w:rPr>
        <w:t>0</w:t>
      </w:r>
      <w:r>
        <w:rPr>
          <w:rFonts w:hint="eastAsia" w:ascii="仿宋_GB2312" w:eastAsia="仿宋_GB2312"/>
          <w:szCs w:val="32"/>
        </w:rPr>
        <w:t>批次、</w:t>
      </w:r>
      <w:r>
        <w:rPr>
          <w:rFonts w:hint="eastAsia" w:ascii="仿宋_GB2312" w:eastAsia="仿宋_GB2312"/>
          <w:szCs w:val="32"/>
          <w:lang w:val="en-US" w:eastAsia="zh-CN"/>
        </w:rPr>
        <w:t>0</w:t>
      </w:r>
      <w:r>
        <w:rPr>
          <w:rFonts w:hint="eastAsia" w:ascii="仿宋_GB2312" w:eastAsia="仿宋_GB2312"/>
          <w:szCs w:val="32"/>
        </w:rPr>
        <w:t>人次）；国（境）外接待费</w:t>
      </w:r>
      <w:r>
        <w:rPr>
          <w:rFonts w:hint="eastAsia" w:ascii="仿宋_GB2312" w:eastAsia="仿宋_GB2312"/>
          <w:szCs w:val="32"/>
          <w:lang w:val="en-US" w:eastAsia="zh-CN"/>
        </w:rPr>
        <w:t>0</w:t>
      </w:r>
      <w:r>
        <w:rPr>
          <w:rFonts w:hint="eastAsia" w:ascii="仿宋_GB2312" w:eastAsia="仿宋_GB2312"/>
          <w:szCs w:val="32"/>
        </w:rPr>
        <w:t>万元，共计接待</w:t>
      </w:r>
      <w:r>
        <w:rPr>
          <w:rFonts w:hint="eastAsia" w:ascii="仿宋_GB2312" w:eastAsia="仿宋_GB2312"/>
          <w:szCs w:val="32"/>
          <w:lang w:val="en-US" w:eastAsia="zh-CN"/>
        </w:rPr>
        <w:t>0</w:t>
      </w:r>
      <w:r>
        <w:rPr>
          <w:rFonts w:hint="eastAsia" w:ascii="仿宋_GB2312" w:eastAsia="仿宋_GB2312"/>
          <w:szCs w:val="32"/>
        </w:rPr>
        <w:t>批次、</w:t>
      </w:r>
      <w:r>
        <w:rPr>
          <w:rFonts w:hint="eastAsia" w:ascii="仿宋_GB2312" w:eastAsia="仿宋_GB2312"/>
          <w:szCs w:val="32"/>
          <w:lang w:val="en-US" w:eastAsia="zh-CN"/>
        </w:rPr>
        <w:t>0</w:t>
      </w:r>
      <w:r>
        <w:rPr>
          <w:rFonts w:hint="eastAsia" w:ascii="仿宋_GB2312" w:eastAsia="仿宋_GB2312"/>
          <w:szCs w:val="32"/>
        </w:rPr>
        <w:t>人次。</w:t>
      </w:r>
    </w:p>
    <w:p>
      <w:pPr>
        <w:ind w:firstLine="632" w:firstLineChars="200"/>
        <w:rPr>
          <w:rFonts w:hint="eastAsia" w:ascii="黑体" w:hAnsi="黑体" w:eastAsia="黑体"/>
          <w:szCs w:val="32"/>
          <w:highlight w:val="red"/>
        </w:rPr>
      </w:pPr>
    </w:p>
    <w:p>
      <w:pPr>
        <w:ind w:firstLine="632" w:firstLineChars="200"/>
        <w:rPr>
          <w:rFonts w:ascii="黑体" w:hAnsi="黑体" w:eastAsia="黑体"/>
          <w:szCs w:val="32"/>
          <w:highlight w:val="none"/>
        </w:rPr>
      </w:pPr>
      <w:r>
        <w:rPr>
          <w:rFonts w:hint="eastAsia" w:ascii="黑体" w:hAnsi="黑体" w:eastAsia="黑体"/>
          <w:szCs w:val="32"/>
          <w:highlight w:val="none"/>
        </w:rPr>
        <w:t>八、政府性基金预算财政拨款收入支出决算情况说明</w:t>
      </w:r>
    </w:p>
    <w:p>
      <w:pPr>
        <w:ind w:firstLine="632" w:firstLineChars="200"/>
        <w:rPr>
          <w:rFonts w:hint="eastAsia" w:ascii="仿宋_GB2312" w:eastAsia="仿宋_GB2312"/>
          <w:szCs w:val="32"/>
        </w:rPr>
      </w:pPr>
      <w:r>
        <w:rPr>
          <w:rFonts w:hint="eastAsia" w:ascii="仿宋_GB2312" w:eastAsia="仿宋_GB2312"/>
          <w:szCs w:val="32"/>
        </w:rPr>
        <w:t>2019年度政府性基金预算财政拨款年初结转和结余</w:t>
      </w:r>
      <w:r>
        <w:rPr>
          <w:rFonts w:hint="eastAsia" w:ascii="仿宋_GB2312" w:eastAsia="仿宋_GB2312"/>
          <w:szCs w:val="32"/>
          <w:lang w:val="en-US" w:eastAsia="zh-CN"/>
        </w:rPr>
        <w:t>0</w:t>
      </w:r>
      <w:r>
        <w:rPr>
          <w:rFonts w:hint="eastAsia" w:ascii="仿宋_GB2312" w:eastAsia="仿宋_GB2312"/>
          <w:szCs w:val="32"/>
        </w:rPr>
        <w:t>万元，本年收入</w:t>
      </w:r>
      <w:r>
        <w:rPr>
          <w:rFonts w:hint="eastAsia" w:ascii="仿宋_GB2312" w:eastAsia="仿宋_GB2312"/>
          <w:szCs w:val="32"/>
          <w:lang w:val="en-US" w:eastAsia="zh-CN"/>
        </w:rPr>
        <w:t>1048.93</w:t>
      </w:r>
      <w:r>
        <w:rPr>
          <w:rFonts w:hint="eastAsia" w:ascii="仿宋_GB2312" w:eastAsia="仿宋_GB2312"/>
          <w:szCs w:val="32"/>
        </w:rPr>
        <w:t>万元，本年支出</w:t>
      </w:r>
      <w:r>
        <w:rPr>
          <w:rFonts w:hint="eastAsia" w:ascii="仿宋_GB2312" w:eastAsia="仿宋_GB2312"/>
          <w:szCs w:val="32"/>
          <w:lang w:val="en-US" w:eastAsia="zh-CN"/>
        </w:rPr>
        <w:t>1048.93</w:t>
      </w:r>
      <w:r>
        <w:rPr>
          <w:rFonts w:hint="eastAsia" w:ascii="仿宋_GB2312" w:eastAsia="仿宋_GB2312"/>
          <w:szCs w:val="32"/>
        </w:rPr>
        <w:t>万元，年末结转和结余</w:t>
      </w:r>
      <w:r>
        <w:rPr>
          <w:rFonts w:hint="eastAsia" w:ascii="仿宋_GB2312" w:eastAsia="仿宋_GB2312"/>
          <w:szCs w:val="32"/>
          <w:lang w:val="en-US" w:eastAsia="zh-CN"/>
        </w:rPr>
        <w:t>0</w:t>
      </w:r>
      <w:r>
        <w:rPr>
          <w:rFonts w:hint="eastAsia" w:ascii="仿宋_GB2312" w:eastAsia="仿宋_GB2312"/>
          <w:szCs w:val="32"/>
        </w:rPr>
        <w:t>万元。支出具体情况如下：</w:t>
      </w:r>
    </w:p>
    <w:p>
      <w:pPr>
        <w:ind w:firstLine="632" w:firstLineChars="200"/>
        <w:rPr>
          <w:rFonts w:hint="eastAsia" w:ascii="仿宋_GB2312" w:eastAsia="仿宋_GB2312"/>
          <w:szCs w:val="32"/>
        </w:rPr>
      </w:pPr>
      <w:r>
        <w:rPr>
          <w:rFonts w:hint="eastAsia" w:ascii="仿宋_GB2312" w:eastAsia="仿宋_GB2312"/>
          <w:szCs w:val="32"/>
        </w:rPr>
        <w:t>（一）</w:t>
      </w:r>
      <w:r>
        <w:rPr>
          <w:rFonts w:hint="eastAsia" w:ascii="仿宋_GB2312" w:hAnsi="宋体" w:eastAsia="仿宋_GB2312" w:cs="Courier New"/>
          <w:szCs w:val="32"/>
          <w:lang w:val="en-US" w:eastAsia="zh-CN"/>
        </w:rPr>
        <w:t>城乡社区</w:t>
      </w:r>
      <w:r>
        <w:rPr>
          <w:rFonts w:hint="eastAsia" w:ascii="仿宋_GB2312" w:hAnsi="宋体" w:eastAsia="仿宋_GB2312" w:cs="Courier New"/>
          <w:szCs w:val="32"/>
        </w:rPr>
        <w:t>支出（类）</w:t>
      </w:r>
      <w:r>
        <w:rPr>
          <w:rFonts w:hint="eastAsia" w:ascii="仿宋_GB2312" w:hAnsi="宋体" w:eastAsia="仿宋_GB2312" w:cs="Courier New"/>
          <w:szCs w:val="32"/>
          <w:lang w:eastAsia="zh-CN"/>
        </w:rPr>
        <w:t>国有土地使用权出让收入及对应专项债务收入安排的</w:t>
      </w:r>
      <w:r>
        <w:rPr>
          <w:rFonts w:hint="eastAsia" w:ascii="仿宋_GB2312" w:hAnsi="宋体" w:eastAsia="仿宋_GB2312" w:cs="Courier New"/>
          <w:szCs w:val="32"/>
        </w:rPr>
        <w:t>支出（款）</w:t>
      </w:r>
      <w:r>
        <w:rPr>
          <w:rFonts w:hint="eastAsia" w:ascii="仿宋_GB2312" w:hAnsi="宋体" w:eastAsia="仿宋_GB2312" w:cs="Courier New"/>
          <w:szCs w:val="32"/>
          <w:lang w:eastAsia="zh-CN"/>
        </w:rPr>
        <w:t>征地和拆迁补偿</w:t>
      </w:r>
      <w:r>
        <w:rPr>
          <w:rFonts w:hint="eastAsia" w:ascii="仿宋_GB2312" w:hAnsi="宋体" w:eastAsia="仿宋_GB2312" w:cs="Courier New"/>
          <w:szCs w:val="32"/>
        </w:rPr>
        <w:t>支出（项）。</w:t>
      </w:r>
      <w:r>
        <w:rPr>
          <w:rFonts w:hint="eastAsia" w:ascii="仿宋_GB2312" w:eastAsia="仿宋_GB2312"/>
          <w:szCs w:val="32"/>
        </w:rPr>
        <w:t>主要反映用于</w:t>
      </w:r>
      <w:r>
        <w:rPr>
          <w:rFonts w:hint="eastAsia" w:ascii="仿宋_GB2312" w:eastAsia="仿宋_GB2312"/>
          <w:szCs w:val="32"/>
          <w:lang w:eastAsia="zh-CN"/>
        </w:rPr>
        <w:t>征地和拆迁补偿</w:t>
      </w:r>
      <w:r>
        <w:rPr>
          <w:rFonts w:hint="eastAsia" w:ascii="仿宋_GB2312" w:eastAsia="仿宋_GB2312"/>
          <w:szCs w:val="32"/>
        </w:rPr>
        <w:t>支出。年初预算为</w:t>
      </w:r>
      <w:r>
        <w:rPr>
          <w:rFonts w:hint="eastAsia" w:ascii="仿宋_GB2312" w:eastAsia="仿宋_GB2312"/>
          <w:szCs w:val="32"/>
          <w:lang w:val="en-US" w:eastAsia="zh-CN"/>
        </w:rPr>
        <w:t>700.76</w:t>
      </w:r>
      <w:r>
        <w:rPr>
          <w:rFonts w:hint="eastAsia" w:ascii="仿宋_GB2312" w:eastAsia="仿宋_GB2312"/>
          <w:szCs w:val="32"/>
        </w:rPr>
        <w:t>万元，支出决算为</w:t>
      </w:r>
      <w:r>
        <w:rPr>
          <w:rFonts w:hint="eastAsia" w:ascii="仿宋_GB2312" w:eastAsia="仿宋_GB2312"/>
          <w:szCs w:val="32"/>
          <w:lang w:val="en-US" w:eastAsia="zh-CN"/>
        </w:rPr>
        <w:t>1018.93</w:t>
      </w:r>
      <w:r>
        <w:rPr>
          <w:rFonts w:hint="eastAsia" w:ascii="仿宋_GB2312" w:eastAsia="仿宋_GB2312"/>
          <w:szCs w:val="32"/>
        </w:rPr>
        <w:t>万元，完成年初预算的</w:t>
      </w:r>
      <w:r>
        <w:rPr>
          <w:rFonts w:hint="eastAsia" w:ascii="仿宋_GB2312" w:eastAsia="仿宋_GB2312"/>
          <w:szCs w:val="32"/>
          <w:lang w:val="en-US" w:eastAsia="zh-CN"/>
        </w:rPr>
        <w:t>145.40</w:t>
      </w:r>
      <w:r>
        <w:rPr>
          <w:rFonts w:hint="eastAsia" w:ascii="仿宋_GB2312" w:eastAsia="仿宋_GB2312"/>
          <w:szCs w:val="32"/>
        </w:rPr>
        <w:t>%。决算数大于年初预算数主要原因是</w:t>
      </w:r>
      <w:r>
        <w:rPr>
          <w:rFonts w:hint="eastAsia" w:ascii="仿宋_GB2312" w:eastAsia="仿宋_GB2312"/>
          <w:szCs w:val="32"/>
          <w:lang w:eastAsia="zh-CN"/>
        </w:rPr>
        <w:t>严格落实上级政策，按时进行征地和拆迁项目</w:t>
      </w:r>
      <w:r>
        <w:rPr>
          <w:rFonts w:hint="eastAsia" w:ascii="仿宋_GB2312" w:eastAsia="仿宋_GB2312"/>
          <w:szCs w:val="32"/>
        </w:rPr>
        <w:t>。</w:t>
      </w:r>
    </w:p>
    <w:p>
      <w:pPr>
        <w:ind w:firstLine="632" w:firstLineChars="200"/>
        <w:rPr>
          <w:rFonts w:hint="eastAsia" w:ascii="仿宋_GB2312" w:eastAsia="仿宋_GB2312"/>
          <w:szCs w:val="32"/>
        </w:rPr>
      </w:pPr>
      <w:r>
        <w:rPr>
          <w:rFonts w:hint="eastAsia" w:ascii="仿宋_GB2312" w:eastAsia="仿宋_GB2312"/>
          <w:szCs w:val="32"/>
        </w:rPr>
        <w:t>（二）</w:t>
      </w:r>
      <w:r>
        <w:rPr>
          <w:rFonts w:hint="eastAsia" w:ascii="仿宋_GB2312" w:eastAsia="仿宋_GB2312"/>
          <w:szCs w:val="32"/>
          <w:lang w:eastAsia="zh-CN"/>
        </w:rPr>
        <w:t>其他支出</w:t>
      </w:r>
      <w:r>
        <w:rPr>
          <w:rFonts w:hint="eastAsia" w:ascii="仿宋_GB2312" w:eastAsia="仿宋_GB2312"/>
          <w:szCs w:val="32"/>
        </w:rPr>
        <w:t>（类）</w:t>
      </w:r>
      <w:r>
        <w:rPr>
          <w:rFonts w:hint="eastAsia" w:ascii="仿宋_GB2312" w:eastAsia="仿宋_GB2312"/>
          <w:szCs w:val="32"/>
          <w:lang w:eastAsia="zh-CN"/>
        </w:rPr>
        <w:t>彩票公益金安排的</w:t>
      </w:r>
      <w:r>
        <w:rPr>
          <w:rFonts w:hint="eastAsia" w:ascii="仿宋_GB2312" w:eastAsia="仿宋_GB2312"/>
          <w:szCs w:val="32"/>
        </w:rPr>
        <w:t>支出（款）</w:t>
      </w:r>
      <w:r>
        <w:rPr>
          <w:rFonts w:hint="eastAsia" w:ascii="仿宋_GB2312" w:eastAsia="仿宋_GB2312"/>
          <w:szCs w:val="32"/>
          <w:lang w:eastAsia="zh-CN"/>
        </w:rPr>
        <w:t>用于社会福利的彩票公益金支出</w:t>
      </w:r>
      <w:r>
        <w:rPr>
          <w:rFonts w:hint="eastAsia" w:ascii="仿宋_GB2312" w:eastAsia="仿宋_GB2312"/>
          <w:szCs w:val="32"/>
        </w:rPr>
        <w:t>（项）。主要反映用于</w:t>
      </w:r>
      <w:r>
        <w:rPr>
          <w:rFonts w:hint="eastAsia" w:ascii="仿宋_GB2312" w:eastAsia="仿宋_GB2312"/>
          <w:szCs w:val="32"/>
          <w:lang w:eastAsia="zh-CN"/>
        </w:rPr>
        <w:t>福利</w:t>
      </w:r>
      <w:r>
        <w:rPr>
          <w:rFonts w:hint="eastAsia" w:ascii="仿宋_GB2312" w:eastAsia="仿宋_GB2312"/>
          <w:szCs w:val="32"/>
        </w:rPr>
        <w:t>支出。年初预算为</w:t>
      </w:r>
      <w:r>
        <w:rPr>
          <w:rFonts w:hint="eastAsia" w:ascii="仿宋_GB2312" w:eastAsia="仿宋_GB2312"/>
          <w:szCs w:val="32"/>
          <w:lang w:val="en-US" w:eastAsia="zh-CN"/>
        </w:rPr>
        <w:t>30</w:t>
      </w:r>
      <w:r>
        <w:rPr>
          <w:rFonts w:hint="eastAsia" w:ascii="仿宋_GB2312" w:eastAsia="仿宋_GB2312"/>
          <w:szCs w:val="32"/>
        </w:rPr>
        <w:t>万元，支出决算为</w:t>
      </w:r>
      <w:r>
        <w:rPr>
          <w:rFonts w:hint="eastAsia" w:ascii="仿宋_GB2312" w:eastAsia="仿宋_GB2312"/>
          <w:szCs w:val="32"/>
          <w:lang w:val="en-US" w:eastAsia="zh-CN"/>
        </w:rPr>
        <w:t>30</w:t>
      </w:r>
      <w:r>
        <w:rPr>
          <w:rFonts w:hint="eastAsia" w:ascii="仿宋_GB2312" w:eastAsia="仿宋_GB2312"/>
          <w:szCs w:val="32"/>
        </w:rPr>
        <w:t>万元，完成年初预算的</w:t>
      </w:r>
      <w:r>
        <w:rPr>
          <w:rFonts w:hint="eastAsia" w:ascii="仿宋_GB2312" w:eastAsia="仿宋_GB2312"/>
          <w:szCs w:val="32"/>
          <w:lang w:val="en-US" w:eastAsia="zh-CN"/>
        </w:rPr>
        <w:t>100</w:t>
      </w:r>
      <w:r>
        <w:rPr>
          <w:rFonts w:hint="eastAsia" w:ascii="仿宋_GB2312" w:eastAsia="仿宋_GB2312"/>
          <w:szCs w:val="32"/>
        </w:rPr>
        <w:t>%。决算数与年初预算基本持平。</w:t>
      </w:r>
    </w:p>
    <w:p>
      <w:pPr>
        <w:ind w:firstLine="632" w:firstLineChars="200"/>
        <w:rPr>
          <w:rFonts w:hint="eastAsia" w:ascii="黑体" w:hAnsi="黑体" w:eastAsia="黑体"/>
          <w:szCs w:val="32"/>
        </w:rPr>
      </w:pPr>
      <w:r>
        <w:rPr>
          <w:rFonts w:hint="eastAsia" w:ascii="黑体" w:hAnsi="黑体" w:eastAsia="黑体"/>
          <w:szCs w:val="32"/>
        </w:rPr>
        <w:t>九、重要事项情况说明</w:t>
      </w:r>
    </w:p>
    <w:p>
      <w:pPr>
        <w:ind w:firstLine="632" w:firstLineChars="200"/>
        <w:rPr>
          <w:rFonts w:hint="eastAsia" w:ascii="楷体_GB2312" w:eastAsia="楷体_GB2312"/>
          <w:szCs w:val="32"/>
        </w:rPr>
      </w:pPr>
      <w:r>
        <w:rPr>
          <w:rFonts w:hint="eastAsia" w:ascii="楷体_GB2312" w:eastAsia="楷体_GB2312"/>
          <w:szCs w:val="32"/>
        </w:rPr>
        <w:t>（一）机关运行经费支出情况</w:t>
      </w:r>
    </w:p>
    <w:p>
      <w:pPr>
        <w:ind w:firstLine="632" w:firstLineChars="200"/>
        <w:rPr>
          <w:rFonts w:hint="eastAsia" w:ascii="仿宋_GB2312" w:eastAsia="仿宋_GB2312"/>
          <w:b/>
          <w:szCs w:val="32"/>
        </w:rPr>
      </w:pPr>
      <w:r>
        <w:rPr>
          <w:rFonts w:hint="eastAsia" w:ascii="仿宋_GB2312" w:eastAsia="仿宋_GB2312"/>
          <w:szCs w:val="32"/>
        </w:rPr>
        <w:t>2019年度机关运行经费支出</w:t>
      </w:r>
      <w:r>
        <w:rPr>
          <w:rFonts w:hint="eastAsia" w:ascii="仿宋_GB2312" w:eastAsia="仿宋_GB2312"/>
          <w:szCs w:val="32"/>
          <w:lang w:val="en-US" w:eastAsia="zh-CN"/>
        </w:rPr>
        <w:t>1146.43</w:t>
      </w:r>
      <w:r>
        <w:rPr>
          <w:rFonts w:hint="eastAsia" w:ascii="仿宋_GB2312" w:eastAsia="仿宋_GB2312"/>
          <w:szCs w:val="32"/>
        </w:rPr>
        <w:t>万元，与2019年预算基本持平</w:t>
      </w:r>
      <w:r>
        <w:rPr>
          <w:rFonts w:hint="eastAsia" w:ascii="仿宋_GB2312" w:eastAsia="仿宋_GB2312"/>
          <w:szCs w:val="32"/>
          <w:lang w:eastAsia="zh-CN"/>
        </w:rPr>
        <w:t>。</w:t>
      </w:r>
    </w:p>
    <w:p>
      <w:pPr>
        <w:ind w:firstLine="632" w:firstLineChars="200"/>
        <w:rPr>
          <w:rFonts w:hint="eastAsia" w:ascii="楷体_GB2312" w:eastAsia="楷体_GB2312"/>
          <w:szCs w:val="32"/>
        </w:rPr>
      </w:pPr>
      <w:r>
        <w:rPr>
          <w:rFonts w:hint="eastAsia" w:ascii="楷体_GB2312" w:eastAsia="楷体_GB2312"/>
          <w:szCs w:val="32"/>
        </w:rPr>
        <w:t>（二）政府采购支出情况</w:t>
      </w:r>
    </w:p>
    <w:p>
      <w:pPr>
        <w:ind w:firstLine="632" w:firstLineChars="200"/>
        <w:rPr>
          <w:rFonts w:hint="eastAsia" w:ascii="仿宋_GB2312" w:eastAsia="仿宋_GB2312"/>
          <w:szCs w:val="32"/>
        </w:rPr>
      </w:pPr>
      <w:r>
        <w:rPr>
          <w:rFonts w:hint="eastAsia" w:ascii="仿宋_GB2312" w:eastAsia="仿宋_GB2312"/>
          <w:szCs w:val="32"/>
        </w:rPr>
        <w:t>本</w:t>
      </w:r>
      <w:r>
        <w:rPr>
          <w:rFonts w:hint="eastAsia" w:ascii="仿宋_GB2312" w:eastAsia="仿宋_GB2312"/>
          <w:szCs w:val="32"/>
          <w:lang w:eastAsia="zh-CN"/>
        </w:rPr>
        <w:t>单位</w:t>
      </w:r>
      <w:r>
        <w:rPr>
          <w:rFonts w:hint="eastAsia" w:ascii="仿宋_GB2312" w:eastAsia="仿宋_GB2312"/>
          <w:szCs w:val="32"/>
        </w:rPr>
        <w:t>无政府采购支出</w:t>
      </w:r>
    </w:p>
    <w:p>
      <w:pPr>
        <w:ind w:firstLine="632" w:firstLineChars="200"/>
        <w:rPr>
          <w:rFonts w:hint="eastAsia" w:ascii="楷体_GB2312" w:eastAsia="楷体_GB2312"/>
          <w:szCs w:val="32"/>
          <w:highlight w:val="yellow"/>
        </w:rPr>
      </w:pPr>
      <w:r>
        <w:rPr>
          <w:rFonts w:hint="eastAsia" w:ascii="楷体_GB2312" w:eastAsia="楷体_GB2312"/>
          <w:szCs w:val="32"/>
        </w:rPr>
        <w:t>（三）国有资产占用情况</w:t>
      </w:r>
    </w:p>
    <w:p>
      <w:pPr>
        <w:ind w:firstLine="632" w:firstLineChars="200"/>
        <w:rPr>
          <w:rFonts w:hint="eastAsia" w:ascii="仿宋_GB2312" w:hAnsi="宋体" w:eastAsia="仿宋_GB2312" w:cs="Courier New"/>
          <w:szCs w:val="32"/>
          <w:lang w:eastAsia="zh-CN"/>
        </w:rPr>
      </w:pPr>
      <w:r>
        <w:rPr>
          <w:rFonts w:hint="eastAsia" w:ascii="仿宋_GB2312" w:hAnsi="宋体" w:eastAsia="仿宋_GB2312" w:cs="Courier New"/>
          <w:szCs w:val="32"/>
        </w:rPr>
        <w:t>截至</w:t>
      </w:r>
      <w:r>
        <w:rPr>
          <w:rFonts w:ascii="仿宋_GB2312" w:hAnsi="宋体" w:eastAsia="仿宋_GB2312" w:cs="Courier New"/>
          <w:szCs w:val="32"/>
        </w:rPr>
        <w:t>201</w:t>
      </w:r>
      <w:r>
        <w:rPr>
          <w:rFonts w:hint="eastAsia" w:ascii="仿宋_GB2312" w:hAnsi="宋体" w:eastAsia="仿宋_GB2312" w:cs="Courier New"/>
          <w:szCs w:val="32"/>
        </w:rPr>
        <w:t>9年</w:t>
      </w:r>
      <w:r>
        <w:rPr>
          <w:rFonts w:ascii="仿宋_GB2312" w:hAnsi="宋体" w:eastAsia="仿宋_GB2312" w:cs="Courier New"/>
          <w:szCs w:val="32"/>
        </w:rPr>
        <w:t>12</w:t>
      </w:r>
      <w:r>
        <w:rPr>
          <w:rFonts w:hint="eastAsia" w:ascii="仿宋_GB2312" w:hAnsi="宋体" w:eastAsia="仿宋_GB2312" w:cs="Courier New"/>
          <w:szCs w:val="32"/>
        </w:rPr>
        <w:t>月</w:t>
      </w:r>
      <w:r>
        <w:rPr>
          <w:rFonts w:ascii="仿宋_GB2312" w:hAnsi="宋体" w:eastAsia="仿宋_GB2312" w:cs="Courier New"/>
          <w:szCs w:val="32"/>
        </w:rPr>
        <w:t>31</w:t>
      </w:r>
      <w:r>
        <w:rPr>
          <w:rFonts w:hint="eastAsia" w:ascii="仿宋_GB2312" w:hAnsi="宋体" w:eastAsia="仿宋_GB2312" w:cs="Courier New"/>
          <w:szCs w:val="32"/>
        </w:rPr>
        <w:t>日，</w:t>
      </w:r>
      <w:r>
        <w:rPr>
          <w:rFonts w:hint="eastAsia" w:ascii="仿宋_GB2312" w:hAnsi="宋体" w:eastAsia="仿宋_GB2312" w:cs="Courier New"/>
          <w:szCs w:val="32"/>
          <w:lang w:eastAsia="zh-CN"/>
        </w:rPr>
        <w:t>本</w:t>
      </w:r>
      <w:r>
        <w:rPr>
          <w:rFonts w:hint="eastAsia" w:ascii="仿宋_GB2312" w:hAnsi="宋体" w:eastAsia="仿宋_GB2312" w:cs="Courier New"/>
          <w:szCs w:val="32"/>
        </w:rPr>
        <w:t>单位共有车辆</w:t>
      </w:r>
      <w:r>
        <w:rPr>
          <w:rFonts w:hint="eastAsia" w:ascii="仿宋_GB2312" w:hAnsi="宋体" w:eastAsia="仿宋_GB2312" w:cs="Courier New"/>
          <w:szCs w:val="32"/>
          <w:lang w:val="en-US" w:eastAsia="zh-CN"/>
        </w:rPr>
        <w:t>17</w:t>
      </w:r>
      <w:r>
        <w:rPr>
          <w:rFonts w:hint="eastAsia" w:ascii="仿宋_GB2312" w:hAnsi="宋体" w:eastAsia="仿宋_GB2312" w:cs="Courier New"/>
          <w:szCs w:val="32"/>
        </w:rPr>
        <w:t>辆，其中，符合规定的领导干部用车</w:t>
      </w:r>
      <w:r>
        <w:rPr>
          <w:rFonts w:hint="eastAsia" w:ascii="仿宋_GB2312" w:hAnsi="宋体" w:eastAsia="仿宋_GB2312" w:cs="Courier New"/>
          <w:szCs w:val="32"/>
          <w:lang w:val="en-US" w:eastAsia="zh-CN"/>
        </w:rPr>
        <w:t>2</w:t>
      </w:r>
      <w:r>
        <w:rPr>
          <w:rFonts w:hint="eastAsia" w:ascii="仿宋_GB2312" w:hAnsi="宋体" w:eastAsia="仿宋_GB2312" w:cs="Courier New"/>
          <w:szCs w:val="32"/>
        </w:rPr>
        <w:t>辆、机要通信用车</w:t>
      </w:r>
      <w:r>
        <w:rPr>
          <w:rFonts w:hint="eastAsia" w:ascii="仿宋_GB2312" w:hAnsi="宋体" w:eastAsia="仿宋_GB2312" w:cs="Courier New"/>
          <w:szCs w:val="32"/>
          <w:lang w:val="en-US" w:eastAsia="zh-CN"/>
        </w:rPr>
        <w:t>3</w:t>
      </w:r>
      <w:r>
        <w:rPr>
          <w:rFonts w:hint="eastAsia" w:ascii="仿宋_GB2312" w:hAnsi="宋体" w:eastAsia="仿宋_GB2312" w:cs="Courier New"/>
          <w:szCs w:val="32"/>
        </w:rPr>
        <w:t>辆、</w:t>
      </w:r>
      <w:r>
        <w:rPr>
          <w:rFonts w:hint="eastAsia" w:ascii="仿宋_GB2312" w:hAnsi="宋体" w:eastAsia="仿宋_GB2312" w:cs="Courier New"/>
          <w:szCs w:val="32"/>
          <w:lang w:eastAsia="zh-CN"/>
        </w:rPr>
        <w:t>行政</w:t>
      </w:r>
      <w:r>
        <w:rPr>
          <w:rFonts w:hint="eastAsia" w:ascii="仿宋_GB2312" w:hAnsi="宋体" w:eastAsia="仿宋_GB2312" w:cs="Courier New"/>
          <w:szCs w:val="32"/>
        </w:rPr>
        <w:t>执法用车</w:t>
      </w:r>
      <w:r>
        <w:rPr>
          <w:rFonts w:hint="eastAsia" w:ascii="仿宋_GB2312" w:hAnsi="宋体" w:eastAsia="仿宋_GB2312" w:cs="Courier New"/>
          <w:szCs w:val="32"/>
          <w:lang w:val="en-US" w:eastAsia="zh-CN"/>
        </w:rPr>
        <w:t>3</w:t>
      </w:r>
      <w:r>
        <w:rPr>
          <w:rFonts w:hint="eastAsia" w:ascii="仿宋_GB2312" w:hAnsi="宋体" w:eastAsia="仿宋_GB2312" w:cs="Courier New"/>
          <w:szCs w:val="32"/>
        </w:rPr>
        <w:t>辆、特种专业技术用车</w:t>
      </w:r>
      <w:r>
        <w:rPr>
          <w:rFonts w:hint="eastAsia" w:ascii="仿宋_GB2312" w:hAnsi="宋体" w:eastAsia="仿宋_GB2312" w:cs="Courier New"/>
          <w:szCs w:val="32"/>
          <w:lang w:val="en-US" w:eastAsia="zh-CN"/>
        </w:rPr>
        <w:t>2</w:t>
      </w:r>
      <w:r>
        <w:rPr>
          <w:rFonts w:hint="eastAsia" w:ascii="仿宋_GB2312" w:hAnsi="宋体" w:eastAsia="仿宋_GB2312" w:cs="Courier New"/>
          <w:szCs w:val="32"/>
        </w:rPr>
        <w:t>辆、其他用车</w:t>
      </w:r>
      <w:r>
        <w:rPr>
          <w:rFonts w:hint="eastAsia" w:ascii="仿宋_GB2312" w:hAnsi="宋体" w:eastAsia="仿宋_GB2312" w:cs="Courier New"/>
          <w:szCs w:val="32"/>
          <w:lang w:val="en-US" w:eastAsia="zh-CN"/>
        </w:rPr>
        <w:t>7</w:t>
      </w:r>
      <w:r>
        <w:rPr>
          <w:rFonts w:hint="eastAsia" w:ascii="仿宋_GB2312" w:hAnsi="宋体" w:eastAsia="仿宋_GB2312" w:cs="Courier New"/>
          <w:szCs w:val="32"/>
        </w:rPr>
        <w:t>辆，其他用车主要是</w:t>
      </w:r>
      <w:r>
        <w:rPr>
          <w:rFonts w:hint="eastAsia" w:ascii="仿宋_GB2312" w:hAnsi="宋体" w:eastAsia="仿宋_GB2312" w:cs="Courier New"/>
          <w:szCs w:val="32"/>
          <w:lang w:eastAsia="zh-CN"/>
        </w:rPr>
        <w:t>垃圾车</w:t>
      </w:r>
      <w:r>
        <w:rPr>
          <w:rFonts w:hint="eastAsia" w:ascii="仿宋_GB2312" w:hAnsi="宋体" w:eastAsia="仿宋_GB2312" w:cs="Courier New"/>
          <w:szCs w:val="32"/>
          <w:lang w:val="en-US" w:eastAsia="zh-CN"/>
        </w:rPr>
        <w:t>6辆</w:t>
      </w:r>
      <w:r>
        <w:rPr>
          <w:rFonts w:hint="eastAsia" w:ascii="仿宋_GB2312" w:hAnsi="宋体" w:eastAsia="仿宋_GB2312" w:cs="Courier New"/>
          <w:szCs w:val="32"/>
          <w:lang w:eastAsia="zh-CN"/>
        </w:rPr>
        <w:t>、自卸车</w:t>
      </w:r>
      <w:r>
        <w:rPr>
          <w:rFonts w:hint="eastAsia" w:ascii="仿宋_GB2312" w:hAnsi="宋体" w:eastAsia="仿宋_GB2312" w:cs="Courier New"/>
          <w:szCs w:val="32"/>
          <w:lang w:val="en-US" w:eastAsia="zh-CN"/>
        </w:rPr>
        <w:t>1辆</w:t>
      </w:r>
      <w:r>
        <w:rPr>
          <w:rFonts w:hint="eastAsia" w:ascii="仿宋_GB2312" w:hAnsi="宋体" w:eastAsia="仿宋_GB2312" w:cs="Courier New"/>
          <w:szCs w:val="32"/>
          <w:lang w:eastAsia="zh-CN"/>
        </w:rPr>
        <w:t>。</w:t>
      </w:r>
    </w:p>
    <w:p>
      <w:pPr>
        <w:numPr>
          <w:ilvl w:val="0"/>
          <w:numId w:val="2"/>
        </w:numPr>
        <w:ind w:firstLine="632" w:firstLineChars="200"/>
        <w:rPr>
          <w:rFonts w:hint="eastAsia" w:ascii="楷体_GB2312" w:eastAsia="楷体_GB2312"/>
          <w:szCs w:val="32"/>
        </w:rPr>
      </w:pPr>
      <w:r>
        <w:rPr>
          <w:rFonts w:hint="eastAsia" w:ascii="楷体_GB2312" w:eastAsia="楷体_GB2312"/>
          <w:szCs w:val="32"/>
        </w:rPr>
        <w:t>预算绩效情况</w:t>
      </w:r>
    </w:p>
    <w:p>
      <w:pPr>
        <w:numPr>
          <w:ilvl w:val="0"/>
          <w:numId w:val="0"/>
        </w:numPr>
        <w:spacing w:line="600" w:lineRule="exact"/>
        <w:ind w:firstLine="632" w:firstLineChars="200"/>
        <w:rPr>
          <w:rFonts w:hint="eastAsia" w:ascii="仿宋_GB2312" w:eastAsia="仿宋_GB2312"/>
          <w:b/>
          <w:bCs/>
          <w:kern w:val="0"/>
          <w:szCs w:val="32"/>
          <w:u w:val="none"/>
        </w:rPr>
      </w:pPr>
      <w:r>
        <w:rPr>
          <w:rFonts w:hint="eastAsia" w:ascii="楷体_GB2312" w:eastAsia="楷体_GB2312"/>
          <w:szCs w:val="32"/>
          <w:lang w:val="en-US" w:eastAsia="zh-CN"/>
        </w:rPr>
        <w:t xml:space="preserve">  </w:t>
      </w:r>
      <w:r>
        <w:rPr>
          <w:rFonts w:hint="eastAsia" w:ascii="仿宋_GB2312" w:hAnsi="宋体" w:eastAsia="仿宋_GB2312" w:cs="Courier New"/>
          <w:szCs w:val="32"/>
        </w:rPr>
        <w:t>本部门无部门评价项目。</w:t>
      </w:r>
    </w:p>
    <w:p>
      <w:pPr>
        <w:rPr>
          <w:rFonts w:ascii="方正小标宋简体" w:eastAsia="方正小标宋简体"/>
          <w:sz w:val="42"/>
        </w:rPr>
      </w:pPr>
    </w:p>
    <w:p>
      <w:pPr>
        <w:rPr>
          <w:rFonts w:ascii="方正小标宋简体" w:eastAsia="方正小标宋简体"/>
          <w:sz w:val="42"/>
        </w:rPr>
      </w:pPr>
    </w:p>
    <w:p>
      <w:pPr>
        <w:rPr>
          <w:rFonts w:ascii="方正小标宋简体" w:eastAsia="方正小标宋简体"/>
          <w:sz w:val="42"/>
        </w:rPr>
      </w:pPr>
    </w:p>
    <w:p>
      <w:pPr>
        <w:ind w:firstLine="536" w:firstLineChars="100"/>
        <w:rPr>
          <w:rFonts w:ascii="方正小标宋简体" w:eastAsia="方正小标宋简体"/>
          <w:spacing w:val="60"/>
          <w:sz w:val="42"/>
        </w:rPr>
      </w:pPr>
      <w:r>
        <w:rPr>
          <w:rFonts w:hint="eastAsia" w:ascii="方正小标宋简体" w:eastAsia="方正小标宋简体"/>
          <w:spacing w:val="60"/>
          <w:sz w:val="42"/>
        </w:rPr>
        <w:t>第四部分</w:t>
      </w:r>
    </w:p>
    <w:p>
      <w:pPr>
        <w:jc w:val="center"/>
        <w:rPr>
          <w:rFonts w:ascii="方正小标宋简体" w:eastAsia="方正小标宋简体"/>
          <w:spacing w:val="60"/>
          <w:sz w:val="42"/>
        </w:rPr>
      </w:pPr>
    </w:p>
    <w:p>
      <w:pPr>
        <w:jc w:val="center"/>
        <w:rPr>
          <w:rFonts w:ascii="方正小标宋简体" w:eastAsia="方正小标宋简体"/>
          <w:spacing w:val="60"/>
          <w:sz w:val="42"/>
        </w:rPr>
      </w:pPr>
    </w:p>
    <w:p>
      <w:pPr>
        <w:jc w:val="center"/>
        <w:rPr>
          <w:rFonts w:ascii="方正小标宋简体" w:eastAsia="方正小标宋简体"/>
          <w:spacing w:val="60"/>
          <w:sz w:val="48"/>
        </w:rPr>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pPr>
      <w:r>
        <w:rPr>
          <w:rFonts w:hint="eastAsia" w:ascii="方正小标宋简体" w:eastAsia="方正小标宋简体"/>
          <w:spacing w:val="60"/>
          <w:sz w:val="48"/>
        </w:rPr>
        <w:t>名词解释</w:t>
      </w:r>
    </w:p>
    <w:p>
      <w:pPr>
        <w:ind w:firstLine="640" w:firstLineChars="200"/>
        <w:rPr>
          <w:rFonts w:ascii="仿宋_GB2312" w:eastAsia="仿宋_GB2312"/>
          <w:szCs w:val="32"/>
        </w:rPr>
      </w:pPr>
      <w:r>
        <w:rPr>
          <w:rFonts w:hint="eastAsia" w:ascii="黑体" w:hAnsi="黑体" w:eastAsia="黑体"/>
          <w:color w:val="000000"/>
          <w:szCs w:val="32"/>
        </w:rPr>
        <w:t>一、财政拨款收入：</w:t>
      </w:r>
      <w:r>
        <w:rPr>
          <w:rFonts w:hint="eastAsia" w:ascii="仿宋_GB2312" w:eastAsia="仿宋_GB2312"/>
          <w:szCs w:val="32"/>
        </w:rPr>
        <w:t>指单位从同级财政部门取得的财政预算资金。按现行管理制度，省级部门决算中反映的财政拨款包括一般公共预算财政拨款和政府性基金财政拨款。</w:t>
      </w:r>
    </w:p>
    <w:p>
      <w:pPr>
        <w:ind w:firstLine="640" w:firstLineChars="200"/>
        <w:rPr>
          <w:rFonts w:ascii="仿宋_GB2312" w:hAnsi="仿宋" w:eastAsia="仿宋_GB2312"/>
          <w:szCs w:val="32"/>
        </w:rPr>
      </w:pPr>
      <w:r>
        <w:rPr>
          <w:rFonts w:hint="eastAsia" w:ascii="黑体" w:hAnsi="黑体" w:eastAsia="黑体"/>
          <w:szCs w:val="32"/>
        </w:rPr>
        <w:t>二、上级补助收入：</w:t>
      </w:r>
      <w:r>
        <w:rPr>
          <w:rFonts w:hint="eastAsia" w:ascii="仿宋_GB2312" w:hAnsi="仿宋" w:eastAsia="仿宋_GB2312"/>
          <w:szCs w:val="32"/>
        </w:rPr>
        <w:t>指事业单位从主管部门和上级单位取得的非财政补助收入。</w:t>
      </w:r>
    </w:p>
    <w:p>
      <w:pPr>
        <w:ind w:firstLine="640" w:firstLineChars="200"/>
        <w:rPr>
          <w:rFonts w:ascii="仿宋_GB2312" w:hAnsi="仿宋" w:eastAsia="仿宋_GB2312"/>
          <w:szCs w:val="32"/>
        </w:rPr>
      </w:pPr>
      <w:r>
        <w:rPr>
          <w:rFonts w:hint="eastAsia" w:ascii="黑体" w:hAnsi="黑体" w:eastAsia="黑体"/>
          <w:szCs w:val="32"/>
        </w:rPr>
        <w:t>三、事业收入：</w:t>
      </w:r>
      <w:r>
        <w:rPr>
          <w:rFonts w:hint="eastAsia" w:ascii="仿宋_GB2312" w:hAnsi="仿宋" w:eastAsia="仿宋_GB2312"/>
          <w:szCs w:val="32"/>
        </w:rPr>
        <w:t>指事业单位开展专业业务活动及其辅助活动取得的收入。包括事业单位收到的财政专户实际核拨的教育收费等。</w:t>
      </w:r>
    </w:p>
    <w:p>
      <w:pPr>
        <w:ind w:firstLine="640" w:firstLineChars="200"/>
        <w:rPr>
          <w:rFonts w:ascii="仿宋_GB2312" w:hAnsi="仿宋" w:eastAsia="仿宋_GB2312"/>
          <w:szCs w:val="32"/>
        </w:rPr>
      </w:pPr>
      <w:r>
        <w:rPr>
          <w:rFonts w:hint="eastAsia" w:ascii="黑体" w:hAnsi="黑体" w:eastAsia="黑体"/>
          <w:szCs w:val="32"/>
        </w:rPr>
        <w:t>四、经营收入：</w:t>
      </w:r>
      <w:r>
        <w:rPr>
          <w:rFonts w:hint="eastAsia" w:ascii="仿宋_GB2312" w:hAnsi="仿宋" w:eastAsia="仿宋_GB2312"/>
          <w:szCs w:val="32"/>
        </w:rPr>
        <w:t>指事业单位在专业业务活动及其辅助活动之外开展非独立核算经营活动取得的收入。</w:t>
      </w:r>
    </w:p>
    <w:p>
      <w:pPr>
        <w:ind w:firstLine="640" w:firstLineChars="200"/>
        <w:rPr>
          <w:rFonts w:ascii="仿宋_GB2312" w:hAnsi="仿宋" w:eastAsia="仿宋_GB2312"/>
          <w:szCs w:val="32"/>
        </w:rPr>
      </w:pPr>
      <w:r>
        <w:rPr>
          <w:rFonts w:hint="eastAsia" w:ascii="黑体" w:hAnsi="黑体" w:eastAsia="黑体"/>
          <w:szCs w:val="32"/>
        </w:rPr>
        <w:t>五、附属单位上缴收入：</w:t>
      </w:r>
      <w:r>
        <w:rPr>
          <w:rFonts w:hint="eastAsia" w:ascii="仿宋_GB2312" w:hAnsi="仿宋" w:eastAsia="仿宋_GB2312"/>
          <w:szCs w:val="32"/>
        </w:rPr>
        <w:t>指事业单位附属独立核算单位按照有关规定上缴的收入。</w:t>
      </w:r>
    </w:p>
    <w:p>
      <w:pPr>
        <w:ind w:firstLine="640" w:firstLineChars="200"/>
        <w:rPr>
          <w:rFonts w:ascii="仿宋_GB2312" w:hAnsi="仿宋" w:eastAsia="仿宋_GB2312"/>
          <w:szCs w:val="32"/>
        </w:rPr>
      </w:pPr>
      <w:r>
        <w:rPr>
          <w:rFonts w:hint="eastAsia" w:ascii="黑体" w:hAnsi="黑体" w:eastAsia="黑体"/>
          <w:szCs w:val="32"/>
        </w:rPr>
        <w:t>六、其他收入：</w:t>
      </w:r>
      <w:r>
        <w:rPr>
          <w:rFonts w:hint="eastAsia" w:ascii="仿宋_GB2312" w:hAnsi="仿宋" w:eastAsia="仿宋_GB2312"/>
          <w:szCs w:val="32"/>
        </w:rPr>
        <w:t>指单位取得的除上述“</w:t>
      </w:r>
      <w:r>
        <w:rPr>
          <w:rFonts w:hint="eastAsia" w:ascii="仿宋_GB2312" w:eastAsia="仿宋_GB2312"/>
          <w:szCs w:val="32"/>
        </w:rPr>
        <w:t>财政拨款收入</w:t>
      </w:r>
      <w:r>
        <w:rPr>
          <w:rFonts w:hint="eastAsia" w:ascii="仿宋_GB2312" w:hAnsi="仿宋" w:eastAsia="仿宋_GB2312"/>
          <w:szCs w:val="32"/>
        </w:rPr>
        <w:t>”“上级补助收入”“事业收入”“经营收入”“附属单位上缴收入”等以外的各项收入。</w:t>
      </w:r>
    </w:p>
    <w:p>
      <w:pPr>
        <w:ind w:firstLine="640" w:firstLineChars="200"/>
        <w:rPr>
          <w:rFonts w:ascii="仿宋_GB2312" w:eastAsia="仿宋_GB2312"/>
          <w:szCs w:val="32"/>
        </w:rPr>
      </w:pPr>
      <w:r>
        <w:rPr>
          <w:rFonts w:hint="eastAsia" w:ascii="黑体" w:hAnsi="黑体" w:eastAsia="黑体"/>
          <w:szCs w:val="32"/>
        </w:rPr>
        <w:t>七、用事业基金弥补收支差额：</w:t>
      </w:r>
      <w:r>
        <w:rPr>
          <w:rFonts w:hint="eastAsia" w:ascii="仿宋_GB2312" w:eastAsia="仿宋_GB2312"/>
          <w:szCs w:val="32"/>
        </w:rPr>
        <w:t>指事业单位在用本年的“财政拨款收入”“财政拨款结转和结余资金”“事业收入”“经营收入”“其他收入”等不足以安排当年支出的情况下，使用以前年度积累的事业基金（事业单位当年收支相抵后按国家规定提取、用于弥补以后年度收支差额的基金）弥补本年度收支缺口的资金。</w:t>
      </w:r>
    </w:p>
    <w:p>
      <w:pPr>
        <w:ind w:firstLine="640" w:firstLineChars="200"/>
        <w:rPr>
          <w:rFonts w:ascii="仿宋_GB2312" w:eastAsia="仿宋_GB2312"/>
          <w:szCs w:val="32"/>
        </w:rPr>
      </w:pPr>
      <w:r>
        <w:rPr>
          <w:rFonts w:hint="eastAsia" w:ascii="黑体" w:hAnsi="黑体" w:eastAsia="黑体"/>
          <w:szCs w:val="32"/>
        </w:rPr>
        <w:t>八、年初结转和结余：</w:t>
      </w:r>
      <w:r>
        <w:rPr>
          <w:rFonts w:hint="eastAsia" w:ascii="仿宋_GB2312" w:eastAsia="仿宋_GB2312"/>
          <w:szCs w:val="32"/>
        </w:rPr>
        <w:t>指单位以前年度尚未完成、结转到本年仍按原规定用途继续使用的资金，或项目已完成等产生的结余资金。</w:t>
      </w:r>
    </w:p>
    <w:p>
      <w:pPr>
        <w:ind w:firstLine="640" w:firstLineChars="200"/>
        <w:rPr>
          <w:rFonts w:ascii="仿宋_GB2312" w:eastAsia="仿宋_GB2312"/>
          <w:szCs w:val="32"/>
        </w:rPr>
      </w:pPr>
      <w:r>
        <w:rPr>
          <w:rFonts w:hint="eastAsia" w:ascii="黑体" w:hAnsi="黑体" w:eastAsia="黑体"/>
          <w:szCs w:val="32"/>
        </w:rPr>
        <w:t>九、结余分配：</w:t>
      </w:r>
      <w:r>
        <w:rPr>
          <w:rFonts w:hint="eastAsia" w:ascii="仿宋_GB2312" w:eastAsia="仿宋_GB2312"/>
          <w:szCs w:val="32"/>
        </w:rPr>
        <w:t>指事业单位按照会计制度规定缴纳的所得税以及从非财政拨款结余或经营结余中提取的各类基金。</w:t>
      </w:r>
    </w:p>
    <w:p>
      <w:pPr>
        <w:ind w:firstLine="640" w:firstLineChars="200"/>
        <w:rPr>
          <w:rFonts w:ascii="仿宋_GB2312" w:hAnsi="仿宋" w:eastAsia="仿宋_GB2312"/>
          <w:szCs w:val="32"/>
        </w:rPr>
      </w:pPr>
      <w:r>
        <w:rPr>
          <w:rFonts w:hint="eastAsia" w:ascii="黑体" w:hAnsi="黑体" w:eastAsia="黑体"/>
          <w:szCs w:val="32"/>
        </w:rPr>
        <w:t>十、年末结转和结余：</w:t>
      </w:r>
      <w:r>
        <w:rPr>
          <w:rFonts w:hint="eastAsia" w:ascii="仿宋_GB2312" w:hAnsi="仿宋" w:eastAsia="仿宋_GB2312"/>
          <w:szCs w:val="32"/>
        </w:rPr>
        <w:t>指单位本年度或以前年度预算安排、因客观条件发生变化未全部执行或未执行，结转到以后年度继续使用的资金，或项目已完成等产生的结余资金。</w:t>
      </w:r>
    </w:p>
    <w:p>
      <w:pPr>
        <w:ind w:firstLine="640" w:firstLineChars="200"/>
        <w:rPr>
          <w:rFonts w:ascii="仿宋_GB2312" w:eastAsia="仿宋_GB2312"/>
          <w:szCs w:val="32"/>
        </w:rPr>
      </w:pPr>
      <w:r>
        <w:rPr>
          <w:rFonts w:hint="eastAsia" w:ascii="黑体" w:hAnsi="黑体" w:eastAsia="黑体"/>
          <w:szCs w:val="32"/>
        </w:rPr>
        <w:t>十一、基本支出：</w:t>
      </w:r>
      <w:r>
        <w:rPr>
          <w:rFonts w:hint="eastAsia" w:ascii="仿宋_GB2312" w:eastAsia="仿宋_GB2312"/>
          <w:szCs w:val="32"/>
        </w:rPr>
        <w:t>指单位为保障其机构正常运转、完成日常工作任务而发生的人员支出和日常公用支出。</w:t>
      </w:r>
    </w:p>
    <w:p>
      <w:pPr>
        <w:ind w:firstLine="640" w:firstLineChars="200"/>
        <w:rPr>
          <w:rFonts w:ascii="仿宋_GB2312" w:eastAsia="仿宋_GB2312"/>
          <w:szCs w:val="32"/>
        </w:rPr>
      </w:pPr>
      <w:r>
        <w:rPr>
          <w:rFonts w:hint="eastAsia" w:ascii="黑体" w:hAnsi="黑体" w:eastAsia="黑体"/>
          <w:szCs w:val="32"/>
        </w:rPr>
        <w:t>十二、项目支出：</w:t>
      </w:r>
      <w:r>
        <w:rPr>
          <w:rFonts w:hint="eastAsia" w:ascii="仿宋_GB2312" w:eastAsia="仿宋_GB2312"/>
          <w:szCs w:val="32"/>
        </w:rPr>
        <w:t>指单位在基本支出之外为完成特定的工作任务或事业发展目标所发生的支出。</w:t>
      </w:r>
    </w:p>
    <w:p>
      <w:pPr>
        <w:ind w:firstLine="640" w:firstLineChars="200"/>
        <w:rPr>
          <w:rFonts w:ascii="仿宋_GB2312" w:eastAsia="仿宋_GB2312"/>
          <w:szCs w:val="32"/>
        </w:rPr>
      </w:pPr>
      <w:r>
        <w:rPr>
          <w:rFonts w:hint="eastAsia" w:ascii="黑体" w:hAnsi="黑体" w:eastAsia="黑体"/>
          <w:szCs w:val="32"/>
        </w:rPr>
        <w:t>十三、经营支出：</w:t>
      </w:r>
      <w:r>
        <w:rPr>
          <w:rFonts w:hint="eastAsia" w:ascii="仿宋_GB2312" w:eastAsia="仿宋_GB2312"/>
          <w:szCs w:val="32"/>
        </w:rPr>
        <w:t>指事业单位在专业业务活动及其辅助活动之外开展非独立核算经营活动发生的支出。</w:t>
      </w:r>
    </w:p>
    <w:p>
      <w:pPr>
        <w:ind w:firstLine="640" w:firstLineChars="200"/>
        <w:rPr>
          <w:rFonts w:ascii="仿宋_GB2312" w:eastAsia="仿宋_GB2312"/>
          <w:szCs w:val="32"/>
        </w:rPr>
      </w:pPr>
      <w:r>
        <w:rPr>
          <w:rFonts w:hint="eastAsia" w:ascii="黑体" w:hAnsi="黑体" w:eastAsia="黑体"/>
          <w:szCs w:val="32"/>
        </w:rPr>
        <w:t>十四、“三公”经费：</w:t>
      </w:r>
      <w:r>
        <w:rPr>
          <w:rFonts w:hint="eastAsia" w:ascii="仿宋_GB2312" w:eastAsia="仿宋_GB2312"/>
          <w:szCs w:val="32"/>
        </w:rPr>
        <w:t>指</w:t>
      </w:r>
      <w:r>
        <w:rPr>
          <w:rFonts w:hint="eastAsia" w:ascii="仿宋_GB2312" w:eastAsia="仿宋_GB2312"/>
          <w:szCs w:val="32"/>
          <w:lang w:eastAsia="zh-CN"/>
        </w:rPr>
        <w:t>市</w:t>
      </w:r>
      <w:r>
        <w:rPr>
          <w:rFonts w:hint="eastAsia" w:ascii="仿宋_GB2312" w:eastAsia="仿宋_GB2312"/>
          <w:szCs w:val="32"/>
        </w:rPr>
        <w:t>级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安全奖励费用等支出；公务接待费反映单位按规定开支的各类公务接待（含外宾接待）支出。</w:t>
      </w:r>
    </w:p>
    <w:p>
      <w:pPr>
        <w:ind w:firstLine="640" w:firstLineChars="200"/>
        <w:rPr>
          <w:rFonts w:ascii="仿宋_GB2312" w:eastAsia="仿宋_GB2312"/>
          <w:szCs w:val="32"/>
        </w:rPr>
      </w:pPr>
      <w:r>
        <w:rPr>
          <w:rFonts w:hint="eastAsia" w:ascii="黑体" w:hAnsi="黑体" w:eastAsia="黑体"/>
          <w:szCs w:val="32"/>
        </w:rPr>
        <w:t>十五、机关运行经费：</w:t>
      </w:r>
      <w:r>
        <w:rPr>
          <w:rFonts w:hint="eastAsia" w:ascii="仿宋_GB2312" w:eastAsia="仿宋_GB2312"/>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p>
    <w:p>
      <w:pPr>
        <w:ind w:firstLine="540" w:firstLineChars="100"/>
        <w:rPr>
          <w:rFonts w:ascii="方正小标宋简体" w:eastAsia="方正小标宋简体"/>
          <w:spacing w:val="60"/>
          <w:sz w:val="42"/>
        </w:rPr>
      </w:pPr>
      <w:r>
        <w:rPr>
          <w:rFonts w:hint="eastAsia" w:ascii="方正小标宋简体" w:eastAsia="方正小标宋简体"/>
          <w:spacing w:val="60"/>
          <w:sz w:val="42"/>
        </w:rPr>
        <w:t>第五部分</w:t>
      </w:r>
    </w:p>
    <w:p>
      <w:pPr>
        <w:jc w:val="center"/>
        <w:rPr>
          <w:rFonts w:ascii="方正小标宋简体" w:eastAsia="方正小标宋简体"/>
          <w:spacing w:val="60"/>
          <w:sz w:val="42"/>
        </w:rPr>
      </w:pPr>
    </w:p>
    <w:p>
      <w:pPr>
        <w:jc w:val="center"/>
        <w:rPr>
          <w:rFonts w:ascii="方正小标宋简体" w:eastAsia="方正小标宋简体"/>
          <w:spacing w:val="60"/>
          <w:sz w:val="42"/>
        </w:rPr>
      </w:pPr>
    </w:p>
    <w:p>
      <w:pPr>
        <w:jc w:val="center"/>
        <w:rPr>
          <w:rFonts w:ascii="方正小标宋简体" w:eastAsia="方正小标宋简体"/>
          <w:spacing w:val="60"/>
          <w:sz w:val="48"/>
        </w:rPr>
      </w:pPr>
      <w:r>
        <w:rPr>
          <w:rFonts w:hint="eastAsia" w:ascii="方正小标宋简体" w:eastAsia="方正小标宋简体"/>
          <w:spacing w:val="60"/>
          <w:sz w:val="48"/>
        </w:rPr>
        <w:t xml:space="preserve">  附  件</w:t>
      </w:r>
    </w:p>
    <w:p>
      <w:pPr>
        <w:tabs>
          <w:tab w:val="left" w:pos="5891"/>
        </w:tabs>
        <w:spacing w:line="580" w:lineRule="exact"/>
        <w:rPr>
          <w:szCs w:val="32"/>
        </w:rPr>
        <w:sectPr>
          <w:pgSz w:w="11906" w:h="16838"/>
          <w:pgMar w:top="2098" w:right="1418" w:bottom="1871" w:left="1531" w:header="851" w:footer="992" w:gutter="0"/>
          <w:pgBorders>
            <w:top w:val="none" w:sz="0" w:space="0"/>
            <w:left w:val="none" w:sz="0" w:space="0"/>
            <w:bottom w:val="none" w:sz="0" w:space="0"/>
            <w:right w:val="none" w:sz="0" w:space="0"/>
          </w:pgBorders>
          <w:cols w:space="720" w:num="1"/>
          <w:docGrid w:type="lines" w:linePitch="312" w:charSpace="0"/>
        </w:sectPr>
      </w:pPr>
    </w:p>
    <w:tbl>
      <w:tblPr>
        <w:tblStyle w:val="4"/>
        <w:tblpPr w:leftFromText="180" w:rightFromText="180" w:vertAnchor="text" w:horzAnchor="page" w:tblpX="2027" w:tblpY="259"/>
        <w:tblOverlap w:val="never"/>
        <w:tblW w:w="13189" w:type="dxa"/>
        <w:tblInd w:w="0" w:type="dxa"/>
        <w:tblLayout w:type="fixed"/>
        <w:tblCellMar>
          <w:top w:w="15" w:type="dxa"/>
          <w:left w:w="15" w:type="dxa"/>
          <w:bottom w:w="15" w:type="dxa"/>
          <w:right w:w="15" w:type="dxa"/>
        </w:tblCellMar>
      </w:tblPr>
      <w:tblGrid>
        <w:gridCol w:w="830"/>
        <w:gridCol w:w="5686"/>
        <w:gridCol w:w="3056"/>
        <w:gridCol w:w="1783"/>
        <w:gridCol w:w="321"/>
        <w:gridCol w:w="1233"/>
        <w:gridCol w:w="280"/>
      </w:tblGrid>
      <w:tr>
        <w:tblPrEx>
          <w:tblCellMar>
            <w:top w:w="15" w:type="dxa"/>
            <w:left w:w="15" w:type="dxa"/>
            <w:bottom w:w="15" w:type="dxa"/>
            <w:right w:w="15" w:type="dxa"/>
          </w:tblCellMar>
        </w:tblPrEx>
        <w:trPr>
          <w:trHeight w:val="459" w:hRule="atLeast"/>
        </w:trPr>
        <w:tc>
          <w:tcPr>
            <w:tcW w:w="13189" w:type="dxa"/>
            <w:gridSpan w:val="7"/>
            <w:noWrap/>
            <w:vAlign w:val="center"/>
          </w:tcPr>
          <w:p>
            <w:pPr>
              <w:spacing w:line="600" w:lineRule="exact"/>
              <w:jc w:val="left"/>
              <w:rPr>
                <w:rFonts w:ascii="仿宋_GB2312" w:hAnsi="方正小标宋简体" w:eastAsia="仿宋_GB2312" w:cs="方正小标宋简体"/>
                <w:szCs w:val="32"/>
              </w:rPr>
            </w:pPr>
            <w:r>
              <w:rPr>
                <w:rFonts w:hint="eastAsia" w:ascii="仿宋_GB2312" w:hAnsi="方正小标宋简体" w:eastAsia="仿宋_GB2312" w:cs="方正小标宋简体"/>
                <w:szCs w:val="32"/>
              </w:rPr>
              <w:t>5-1</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2019年度威海市</w:t>
            </w:r>
            <w:r>
              <w:rPr>
                <w:rFonts w:hint="eastAsia" w:ascii="方正小标宋简体" w:hAnsi="方正小标宋简体" w:eastAsia="方正小标宋简体" w:cs="方正小标宋简体"/>
                <w:sz w:val="44"/>
                <w:szCs w:val="44"/>
                <w:lang w:eastAsia="zh-CN"/>
              </w:rPr>
              <w:t>张家产镇人民政府</w:t>
            </w:r>
            <w:r>
              <w:rPr>
                <w:rFonts w:hint="eastAsia" w:ascii="方正小标宋简体" w:hAnsi="方正小标宋简体" w:eastAsia="方正小标宋简体" w:cs="方正小标宋简体"/>
                <w:sz w:val="44"/>
                <w:szCs w:val="44"/>
              </w:rPr>
              <w:t>部门预算项目绩效自评情况汇总表</w:t>
            </w:r>
          </w:p>
          <w:p>
            <w:pPr>
              <w:rPr>
                <w:rFonts w:ascii="仿宋_GB2312" w:hAnsi="宋体" w:eastAsia="仿宋_GB2312" w:cs="仿宋_GB2312"/>
                <w:color w:val="000000"/>
                <w:sz w:val="24"/>
              </w:rPr>
            </w:pPr>
          </w:p>
        </w:tc>
      </w:tr>
      <w:tr>
        <w:tblPrEx>
          <w:tblCellMar>
            <w:top w:w="15" w:type="dxa"/>
            <w:left w:w="15" w:type="dxa"/>
            <w:bottom w:w="15" w:type="dxa"/>
            <w:right w:w="15" w:type="dxa"/>
          </w:tblCellMar>
        </w:tblPrEx>
        <w:trPr>
          <w:gridAfter w:val="2"/>
          <w:wAfter w:w="1513" w:type="dxa"/>
          <w:trHeight w:val="483" w:hRule="atLeast"/>
        </w:trPr>
        <w:tc>
          <w:tcPr>
            <w:tcW w:w="830" w:type="dxa"/>
            <w:noWrap/>
            <w:vAlign w:val="center"/>
          </w:tcPr>
          <w:p>
            <w:pPr>
              <w:rPr>
                <w:rFonts w:ascii="仿宋_GB2312" w:hAnsi="宋体" w:eastAsia="仿宋_GB2312" w:cs="仿宋_GB2312"/>
                <w:color w:val="000000"/>
                <w:sz w:val="28"/>
                <w:szCs w:val="28"/>
              </w:rPr>
            </w:pPr>
          </w:p>
        </w:tc>
        <w:tc>
          <w:tcPr>
            <w:tcW w:w="5686" w:type="dxa"/>
            <w:noWrap/>
            <w:vAlign w:val="center"/>
          </w:tcPr>
          <w:p>
            <w:pPr>
              <w:rPr>
                <w:rFonts w:ascii="仿宋_GB2312" w:hAnsi="宋体" w:eastAsia="仿宋_GB2312" w:cs="仿宋_GB2312"/>
                <w:color w:val="000000"/>
                <w:sz w:val="28"/>
                <w:szCs w:val="28"/>
              </w:rPr>
            </w:pPr>
          </w:p>
        </w:tc>
        <w:tc>
          <w:tcPr>
            <w:tcW w:w="3056" w:type="dxa"/>
            <w:noWrap/>
            <w:vAlign w:val="center"/>
          </w:tcPr>
          <w:p>
            <w:pPr>
              <w:rPr>
                <w:rFonts w:ascii="仿宋_GB2312" w:hAnsi="宋体" w:eastAsia="仿宋_GB2312" w:cs="仿宋_GB2312"/>
                <w:color w:val="000000"/>
                <w:sz w:val="28"/>
                <w:szCs w:val="28"/>
              </w:rPr>
            </w:pPr>
          </w:p>
        </w:tc>
        <w:tc>
          <w:tcPr>
            <w:tcW w:w="2104" w:type="dxa"/>
            <w:gridSpan w:val="2"/>
            <w:tcBorders>
              <w:bottom w:val="single" w:color="000000" w:sz="4" w:space="0"/>
            </w:tcBorders>
            <w:noWrap/>
            <w:vAlign w:val="center"/>
          </w:tcPr>
          <w:p>
            <w:pPr>
              <w:widowControl/>
              <w:jc w:val="right"/>
              <w:textAlignment w:val="center"/>
              <w:rPr>
                <w:rFonts w:ascii="黑体" w:hAnsi="宋体" w:eastAsia="黑体" w:cs="黑体"/>
                <w:color w:val="000000"/>
                <w:sz w:val="24"/>
              </w:rPr>
            </w:pPr>
            <w:r>
              <w:rPr>
                <w:rFonts w:hint="eastAsia" w:ascii="黑体" w:hAnsi="宋体" w:eastAsia="黑体" w:cs="黑体"/>
                <w:color w:val="000000"/>
                <w:kern w:val="0"/>
                <w:sz w:val="24"/>
              </w:rPr>
              <w:t>单位：万元</w:t>
            </w:r>
          </w:p>
        </w:tc>
      </w:tr>
      <w:tr>
        <w:tblPrEx>
          <w:tblCellMar>
            <w:top w:w="15" w:type="dxa"/>
            <w:left w:w="15" w:type="dxa"/>
            <w:bottom w:w="15" w:type="dxa"/>
            <w:right w:w="15" w:type="dxa"/>
          </w:tblCellMar>
        </w:tblPrEx>
        <w:trPr>
          <w:gridAfter w:val="1"/>
          <w:wAfter w:w="280" w:type="dxa"/>
          <w:trHeight w:val="319" w:hRule="atLeast"/>
        </w:trPr>
        <w:tc>
          <w:tcPr>
            <w:tcW w:w="830" w:type="dxa"/>
            <w:vMerge w:val="restart"/>
            <w:tcBorders>
              <w:top w:val="single" w:color="000000" w:sz="4" w:space="0"/>
              <w:left w:val="single" w:color="000000" w:sz="4" w:space="0"/>
              <w:bottom w:val="single" w:color="000000" w:sz="4" w:space="0"/>
              <w:right w:val="single" w:color="auto" w:sz="4" w:space="0"/>
            </w:tcBorders>
            <w:noWrap/>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序号</w:t>
            </w:r>
          </w:p>
        </w:tc>
        <w:tc>
          <w:tcPr>
            <w:tcW w:w="5686" w:type="dxa"/>
            <w:vMerge w:val="restart"/>
            <w:tcBorders>
              <w:top w:val="single" w:color="000000" w:sz="4" w:space="0"/>
              <w:left w:val="single" w:color="auto" w:sz="4" w:space="0"/>
              <w:bottom w:val="single" w:color="000000" w:sz="4" w:space="0"/>
              <w:right w:val="single" w:color="auto" w:sz="4" w:space="0"/>
            </w:tcBorders>
            <w:noWrap/>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项目名称</w:t>
            </w:r>
          </w:p>
        </w:tc>
        <w:tc>
          <w:tcPr>
            <w:tcW w:w="3056" w:type="dxa"/>
            <w:vMerge w:val="restart"/>
            <w:tcBorders>
              <w:top w:val="single" w:color="000000" w:sz="4" w:space="0"/>
              <w:left w:val="single" w:color="auto" w:sz="4" w:space="0"/>
              <w:bottom w:val="single" w:color="000000" w:sz="4" w:space="0"/>
              <w:right w:val="single" w:color="auto" w:sz="4" w:space="0"/>
            </w:tcBorders>
            <w:noWrap/>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资金使用单位</w:t>
            </w:r>
          </w:p>
        </w:tc>
        <w:tc>
          <w:tcPr>
            <w:tcW w:w="178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w:t>
            </w:r>
          </w:p>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得分</w:t>
            </w:r>
          </w:p>
        </w:tc>
        <w:tc>
          <w:tcPr>
            <w:tcW w:w="1554"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w:t>
            </w:r>
          </w:p>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等级</w:t>
            </w:r>
          </w:p>
        </w:tc>
      </w:tr>
      <w:tr>
        <w:tblPrEx>
          <w:tblCellMar>
            <w:top w:w="15" w:type="dxa"/>
            <w:left w:w="15" w:type="dxa"/>
            <w:bottom w:w="15" w:type="dxa"/>
            <w:right w:w="15" w:type="dxa"/>
          </w:tblCellMar>
        </w:tblPrEx>
        <w:trPr>
          <w:gridAfter w:val="1"/>
          <w:wAfter w:w="280" w:type="dxa"/>
          <w:trHeight w:val="513" w:hRule="atLeast"/>
        </w:trPr>
        <w:tc>
          <w:tcPr>
            <w:tcW w:w="830" w:type="dxa"/>
            <w:vMerge w:val="continue"/>
            <w:tcBorders>
              <w:top w:val="single" w:color="000000" w:sz="4" w:space="0"/>
              <w:left w:val="single" w:color="000000" w:sz="4" w:space="0"/>
              <w:bottom w:val="single" w:color="000000" w:sz="4" w:space="0"/>
              <w:right w:val="single" w:color="auto" w:sz="4" w:space="0"/>
            </w:tcBorders>
            <w:noWrap/>
            <w:vAlign w:val="center"/>
          </w:tcPr>
          <w:p>
            <w:pPr>
              <w:jc w:val="center"/>
              <w:rPr>
                <w:rFonts w:ascii="黑体" w:hAnsi="宋体" w:eastAsia="黑体" w:cs="黑体"/>
                <w:color w:val="000000"/>
                <w:sz w:val="24"/>
              </w:rPr>
            </w:pPr>
          </w:p>
        </w:tc>
        <w:tc>
          <w:tcPr>
            <w:tcW w:w="5686" w:type="dxa"/>
            <w:vMerge w:val="continue"/>
            <w:tcBorders>
              <w:top w:val="single" w:color="000000" w:sz="4" w:space="0"/>
              <w:left w:val="single" w:color="auto" w:sz="4" w:space="0"/>
              <w:bottom w:val="single" w:color="000000" w:sz="4" w:space="0"/>
              <w:right w:val="single" w:color="auto" w:sz="4" w:space="0"/>
            </w:tcBorders>
            <w:noWrap/>
            <w:vAlign w:val="center"/>
          </w:tcPr>
          <w:p>
            <w:pPr>
              <w:jc w:val="center"/>
              <w:rPr>
                <w:rFonts w:ascii="黑体" w:hAnsi="宋体" w:eastAsia="黑体" w:cs="黑体"/>
                <w:color w:val="000000"/>
                <w:sz w:val="24"/>
              </w:rPr>
            </w:pPr>
          </w:p>
        </w:tc>
        <w:tc>
          <w:tcPr>
            <w:tcW w:w="3056" w:type="dxa"/>
            <w:vMerge w:val="continue"/>
            <w:tcBorders>
              <w:top w:val="single" w:color="000000" w:sz="4" w:space="0"/>
              <w:left w:val="single" w:color="auto" w:sz="4" w:space="0"/>
              <w:bottom w:val="single" w:color="000000" w:sz="4" w:space="0"/>
              <w:right w:val="single" w:color="auto" w:sz="4" w:space="0"/>
            </w:tcBorders>
            <w:noWrap/>
            <w:vAlign w:val="center"/>
          </w:tcPr>
          <w:p>
            <w:pPr>
              <w:jc w:val="center"/>
              <w:rPr>
                <w:rFonts w:ascii="黑体" w:hAnsi="宋体" w:eastAsia="黑体" w:cs="黑体"/>
                <w:color w:val="000000"/>
                <w:sz w:val="24"/>
              </w:rPr>
            </w:pPr>
          </w:p>
        </w:tc>
        <w:tc>
          <w:tcPr>
            <w:tcW w:w="178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黑体" w:hAnsi="宋体" w:eastAsia="黑体" w:cs="黑体"/>
                <w:color w:val="000000"/>
                <w:sz w:val="24"/>
              </w:rPr>
            </w:pPr>
          </w:p>
        </w:tc>
        <w:tc>
          <w:tcPr>
            <w:tcW w:w="155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黑体" w:hAnsi="宋体" w:eastAsia="黑体" w:cs="黑体"/>
                <w:color w:val="000000"/>
                <w:sz w:val="24"/>
              </w:rPr>
            </w:pPr>
          </w:p>
        </w:tc>
      </w:tr>
      <w:tr>
        <w:tblPrEx>
          <w:tblCellMar>
            <w:top w:w="15" w:type="dxa"/>
            <w:left w:w="15" w:type="dxa"/>
            <w:bottom w:w="15" w:type="dxa"/>
            <w:right w:w="15" w:type="dxa"/>
          </w:tblCellMar>
        </w:tblPrEx>
        <w:trPr>
          <w:gridAfter w:val="1"/>
          <w:wAfter w:w="280" w:type="dxa"/>
          <w:trHeight w:val="319" w:hRule="atLeast"/>
        </w:trPr>
        <w:tc>
          <w:tcPr>
            <w:tcW w:w="830" w:type="dxa"/>
            <w:vMerge w:val="continue"/>
            <w:tcBorders>
              <w:top w:val="single" w:color="000000" w:sz="4" w:space="0"/>
              <w:left w:val="single" w:color="000000" w:sz="4" w:space="0"/>
              <w:bottom w:val="single" w:color="000000" w:sz="4" w:space="0"/>
              <w:right w:val="single" w:color="auto" w:sz="4" w:space="0"/>
            </w:tcBorders>
            <w:noWrap/>
            <w:vAlign w:val="center"/>
          </w:tcPr>
          <w:p>
            <w:pPr>
              <w:jc w:val="center"/>
              <w:rPr>
                <w:rFonts w:ascii="黑体" w:hAnsi="宋体" w:eastAsia="黑体" w:cs="黑体"/>
                <w:color w:val="000000"/>
                <w:sz w:val="24"/>
              </w:rPr>
            </w:pPr>
          </w:p>
        </w:tc>
        <w:tc>
          <w:tcPr>
            <w:tcW w:w="5686" w:type="dxa"/>
            <w:vMerge w:val="continue"/>
            <w:tcBorders>
              <w:top w:val="single" w:color="000000" w:sz="4" w:space="0"/>
              <w:left w:val="single" w:color="auto" w:sz="4" w:space="0"/>
              <w:bottom w:val="single" w:color="000000" w:sz="4" w:space="0"/>
              <w:right w:val="single" w:color="auto" w:sz="4" w:space="0"/>
            </w:tcBorders>
            <w:noWrap/>
            <w:vAlign w:val="center"/>
          </w:tcPr>
          <w:p>
            <w:pPr>
              <w:jc w:val="center"/>
              <w:rPr>
                <w:rFonts w:ascii="黑体" w:hAnsi="宋体" w:eastAsia="黑体" w:cs="黑体"/>
                <w:color w:val="000000"/>
                <w:sz w:val="24"/>
              </w:rPr>
            </w:pPr>
          </w:p>
        </w:tc>
        <w:tc>
          <w:tcPr>
            <w:tcW w:w="3056" w:type="dxa"/>
            <w:vMerge w:val="continue"/>
            <w:tcBorders>
              <w:top w:val="single" w:color="000000" w:sz="4" w:space="0"/>
              <w:left w:val="single" w:color="auto" w:sz="4" w:space="0"/>
              <w:bottom w:val="single" w:color="000000" w:sz="4" w:space="0"/>
              <w:right w:val="single" w:color="auto" w:sz="4" w:space="0"/>
            </w:tcBorders>
            <w:noWrap/>
            <w:vAlign w:val="center"/>
          </w:tcPr>
          <w:p>
            <w:pPr>
              <w:jc w:val="center"/>
              <w:rPr>
                <w:rFonts w:ascii="黑体" w:hAnsi="宋体" w:eastAsia="黑体" w:cs="黑体"/>
                <w:color w:val="000000"/>
                <w:sz w:val="24"/>
              </w:rPr>
            </w:pPr>
          </w:p>
        </w:tc>
        <w:tc>
          <w:tcPr>
            <w:tcW w:w="178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黑体" w:hAnsi="宋体" w:eastAsia="黑体" w:cs="黑体"/>
                <w:color w:val="000000"/>
                <w:sz w:val="24"/>
              </w:rPr>
            </w:pPr>
          </w:p>
        </w:tc>
        <w:tc>
          <w:tcPr>
            <w:tcW w:w="155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黑体" w:hAnsi="宋体" w:eastAsia="黑体" w:cs="黑体"/>
                <w:color w:val="000000"/>
                <w:sz w:val="24"/>
              </w:rPr>
            </w:pPr>
          </w:p>
        </w:tc>
      </w:tr>
      <w:tr>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1</w:t>
            </w:r>
          </w:p>
        </w:tc>
        <w:tc>
          <w:tcPr>
            <w:tcW w:w="5686" w:type="dxa"/>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4"/>
              </w:rPr>
            </w:pPr>
          </w:p>
        </w:tc>
        <w:tc>
          <w:tcPr>
            <w:tcW w:w="1783" w:type="dxa"/>
            <w:tcBorders>
              <w:top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r>
      <w:tr>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2</w:t>
            </w:r>
          </w:p>
        </w:tc>
        <w:tc>
          <w:tcPr>
            <w:tcW w:w="5686" w:type="dxa"/>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jc w:val="center"/>
              <w:rPr>
                <w:sz w:val="21"/>
              </w:rPr>
            </w:pPr>
          </w:p>
        </w:tc>
        <w:tc>
          <w:tcPr>
            <w:tcW w:w="1783" w:type="dxa"/>
            <w:tcBorders>
              <w:top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r>
      <w:tr>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sz w:val="24"/>
              </w:rPr>
            </w:pPr>
            <w:r>
              <w:rPr>
                <w:rFonts w:hint="eastAsia" w:ascii="仿宋_GB2312" w:hAnsi="宋体" w:eastAsia="仿宋_GB2312" w:cs="仿宋_GB2312"/>
                <w:color w:val="000000"/>
                <w:kern w:val="0"/>
                <w:sz w:val="24"/>
              </w:rPr>
              <w:t>3</w:t>
            </w:r>
          </w:p>
        </w:tc>
        <w:tc>
          <w:tcPr>
            <w:tcW w:w="5686" w:type="dxa"/>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jc w:val="center"/>
              <w:rPr>
                <w:sz w:val="21"/>
              </w:rPr>
            </w:pPr>
          </w:p>
        </w:tc>
        <w:tc>
          <w:tcPr>
            <w:tcW w:w="1783" w:type="dxa"/>
            <w:tcBorders>
              <w:top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r>
      <w:tr>
        <w:tblPrEx>
          <w:tblCellMar>
            <w:top w:w="15" w:type="dxa"/>
            <w:left w:w="15" w:type="dxa"/>
            <w:bottom w:w="15" w:type="dxa"/>
            <w:right w:w="15" w:type="dxa"/>
          </w:tblCellMar>
        </w:tblPrEx>
        <w:trPr>
          <w:gridAfter w:val="1"/>
          <w:wAfter w:w="280" w:type="dxa"/>
          <w:trHeight w:val="378"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4</w:t>
            </w:r>
          </w:p>
        </w:tc>
        <w:tc>
          <w:tcPr>
            <w:tcW w:w="5686" w:type="dxa"/>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jc w:val="center"/>
              <w:rPr>
                <w:sz w:val="21"/>
              </w:rPr>
            </w:pPr>
          </w:p>
        </w:tc>
        <w:tc>
          <w:tcPr>
            <w:tcW w:w="1783" w:type="dxa"/>
            <w:tcBorders>
              <w:top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r>
      <w:tr>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5</w:t>
            </w:r>
          </w:p>
        </w:tc>
        <w:tc>
          <w:tcPr>
            <w:tcW w:w="5686" w:type="dxa"/>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jc w:val="center"/>
              <w:rPr>
                <w:sz w:val="21"/>
              </w:rPr>
            </w:pPr>
          </w:p>
        </w:tc>
        <w:tc>
          <w:tcPr>
            <w:tcW w:w="1783" w:type="dxa"/>
            <w:tcBorders>
              <w:top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r>
      <w:tr>
        <w:tblPrEx>
          <w:tblCellMar>
            <w:top w:w="15" w:type="dxa"/>
            <w:left w:w="15" w:type="dxa"/>
            <w:bottom w:w="15" w:type="dxa"/>
            <w:right w:w="15" w:type="dxa"/>
          </w:tblCellMar>
        </w:tblPrEx>
        <w:trPr>
          <w:gridAfter w:val="1"/>
          <w:wAfter w:w="280" w:type="dxa"/>
          <w:trHeight w:val="444"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color w:val="000000"/>
                <w:kern w:val="0"/>
                <w:sz w:val="24"/>
              </w:rPr>
            </w:pPr>
          </w:p>
        </w:tc>
        <w:tc>
          <w:tcPr>
            <w:tcW w:w="5686" w:type="dxa"/>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c>
          <w:tcPr>
            <w:tcW w:w="3056" w:type="dxa"/>
            <w:tcBorders>
              <w:top w:val="single" w:color="000000" w:sz="4" w:space="0"/>
              <w:left w:val="single" w:color="000000" w:sz="4" w:space="0"/>
              <w:bottom w:val="single" w:color="000000" w:sz="4" w:space="0"/>
              <w:right w:val="single" w:color="000000" w:sz="4" w:space="0"/>
            </w:tcBorders>
            <w:noWrap/>
            <w:vAlign w:val="center"/>
          </w:tcPr>
          <w:p>
            <w:pPr>
              <w:jc w:val="center"/>
              <w:rPr>
                <w:sz w:val="21"/>
              </w:rPr>
            </w:pPr>
          </w:p>
        </w:tc>
        <w:tc>
          <w:tcPr>
            <w:tcW w:w="1783" w:type="dxa"/>
            <w:tcBorders>
              <w:top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4"/>
              </w:rPr>
            </w:pP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pPr>
              <w:rPr>
                <w:rFonts w:ascii="仿宋_GB2312" w:hAnsi="宋体" w:eastAsia="仿宋_GB2312" w:cs="仿宋_GB2312"/>
                <w:color w:val="000000"/>
                <w:sz w:val="24"/>
              </w:rPr>
            </w:pPr>
          </w:p>
        </w:tc>
      </w:tr>
    </w:tbl>
    <w:p>
      <w:pPr>
        <w:tabs>
          <w:tab w:val="left" w:pos="5891"/>
        </w:tabs>
        <w:spacing w:line="580" w:lineRule="exact"/>
        <w:rPr>
          <w:rFonts w:ascii="黑体" w:hAnsi="黑体" w:eastAsia="黑体" w:cs="黑体"/>
          <w:szCs w:val="32"/>
        </w:rPr>
        <w:sectPr>
          <w:pgSz w:w="16838" w:h="11906" w:orient="landscape"/>
          <w:pgMar w:top="1531" w:right="2098" w:bottom="1417" w:left="1871" w:header="851" w:footer="992" w:gutter="0"/>
          <w:pgBorders>
            <w:top w:val="none" w:sz="0" w:space="0"/>
            <w:left w:val="none" w:sz="0" w:space="0"/>
            <w:bottom w:val="none" w:sz="0" w:space="0"/>
            <w:right w:val="none" w:sz="0" w:space="0"/>
          </w:pgBorders>
          <w:cols w:space="720" w:num="1"/>
          <w:docGrid w:type="lines" w:linePitch="319" w:charSpace="0"/>
        </w:sectPr>
      </w:pPr>
      <w:r>
        <w:rPr>
          <w:rFonts w:hint="eastAsia" w:ascii="仿宋_GB2312" w:hAnsi="宋体" w:eastAsia="仿宋_GB2312"/>
          <w:sz w:val="22"/>
          <w:szCs w:val="22"/>
        </w:rPr>
        <w:t>本部门没有</w:t>
      </w:r>
      <w:r>
        <w:rPr>
          <w:rFonts w:hint="eastAsia" w:ascii="仿宋_GB2312" w:hAnsi="宋体" w:eastAsia="仿宋_GB2312"/>
          <w:sz w:val="22"/>
          <w:szCs w:val="22"/>
          <w:lang w:eastAsia="zh-CN"/>
        </w:rPr>
        <w:t>预算项目绩效</w:t>
      </w:r>
      <w:r>
        <w:rPr>
          <w:rFonts w:hint="eastAsia" w:ascii="仿宋_GB2312" w:hAnsi="宋体" w:eastAsia="仿宋_GB2312"/>
          <w:sz w:val="22"/>
          <w:szCs w:val="22"/>
        </w:rPr>
        <w:t>，故本表无数据</w:t>
      </w:r>
      <w:r>
        <w:rPr>
          <w:rFonts w:hint="eastAsia" w:ascii="仿宋_GB2312" w:hAnsi="宋体" w:eastAsia="仿宋_GB2312"/>
          <w:sz w:val="22"/>
          <w:szCs w:val="22"/>
          <w:lang w:eastAsia="zh-CN"/>
        </w:rPr>
        <w:t>。</w:t>
      </w:r>
    </w:p>
    <w:p>
      <w:bookmarkStart w:id="0" w:name="_GoBack"/>
      <w:bookmarkEnd w:id="0"/>
    </w:p>
    <w:sectPr>
      <w:pgSz w:w="11906" w:h="16838"/>
      <w:pgMar w:top="1701" w:right="1531" w:bottom="1701" w:left="1531" w:header="0" w:footer="1418" w:gutter="0"/>
      <w:pgBorders>
        <w:top w:val="none" w:sz="0" w:space="0"/>
        <w:left w:val="none" w:sz="0" w:space="0"/>
        <w:bottom w:val="none" w:sz="0" w:space="0"/>
        <w:right w:val="none" w:sz="0" w:space="0"/>
      </w:pgBorders>
      <w:cols w:space="720" w:num="1"/>
      <w:docGrid w:type="linesAndChars" w:linePitch="61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25</w:t>
    </w:r>
    <w:r>
      <w:rPr>
        <w:rFonts w:ascii="宋体" w:hAnsi="宋体"/>
        <w:sz w:val="28"/>
        <w:szCs w:val="28"/>
      </w:rPr>
      <w:fldChar w:fldCharType="end"/>
    </w:r>
    <w:r>
      <w:rPr>
        <w:rFonts w:hint="eastAsia" w:ascii="宋体" w:hAnsi="宋体"/>
        <w:sz w:val="28"/>
        <w:szCs w:val="28"/>
      </w:rPr>
      <w:t xml:space="preserve"> —</w:t>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1CF0EB"/>
    <w:multiLevelType w:val="singleLevel"/>
    <w:tmpl w:val="511CF0EB"/>
    <w:lvl w:ilvl="0" w:tentative="0">
      <w:start w:val="1"/>
      <w:numFmt w:val="decimal"/>
      <w:suff w:val="nothing"/>
      <w:lvlText w:val="%1、"/>
      <w:lvlJc w:val="left"/>
    </w:lvl>
  </w:abstractNum>
  <w:abstractNum w:abstractNumId="1">
    <w:nsid w:val="54DE5339"/>
    <w:multiLevelType w:val="singleLevel"/>
    <w:tmpl w:val="54DE5339"/>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C377A2"/>
    <w:rsid w:val="00165DDF"/>
    <w:rsid w:val="0017751F"/>
    <w:rsid w:val="003051C2"/>
    <w:rsid w:val="00637F0D"/>
    <w:rsid w:val="007B6BE5"/>
    <w:rsid w:val="0082179D"/>
    <w:rsid w:val="00981E64"/>
    <w:rsid w:val="00A263B4"/>
    <w:rsid w:val="00B15D8F"/>
    <w:rsid w:val="00C36218"/>
    <w:rsid w:val="02D71A8B"/>
    <w:rsid w:val="056B7788"/>
    <w:rsid w:val="0B766141"/>
    <w:rsid w:val="0DF11998"/>
    <w:rsid w:val="10B342BD"/>
    <w:rsid w:val="11A01BA9"/>
    <w:rsid w:val="136C2567"/>
    <w:rsid w:val="15EB6700"/>
    <w:rsid w:val="1E040D63"/>
    <w:rsid w:val="209C64F9"/>
    <w:rsid w:val="20CF4CA6"/>
    <w:rsid w:val="22C377A2"/>
    <w:rsid w:val="264A49DD"/>
    <w:rsid w:val="2A826B15"/>
    <w:rsid w:val="3A214CB4"/>
    <w:rsid w:val="3E105E6A"/>
    <w:rsid w:val="407F3395"/>
    <w:rsid w:val="47F40FB8"/>
    <w:rsid w:val="4DB2661B"/>
    <w:rsid w:val="61660D05"/>
    <w:rsid w:val="62C83149"/>
    <w:rsid w:val="653E58DE"/>
    <w:rsid w:val="656068DA"/>
    <w:rsid w:val="6E905DFF"/>
    <w:rsid w:val="7FE567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2018</a:t>
            </a:r>
            <a:r>
              <a:rPr altLang="en-US"/>
              <a:t>年、</a:t>
            </a:r>
            <a:r>
              <a:rPr lang="en-US" altLang="zh-CN"/>
              <a:t>2019</a:t>
            </a:r>
            <a:r>
              <a:rPr altLang="en-US"/>
              <a:t>年相比收、支决算总计变动情况图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c:v>
                </c:pt>
                <c:pt idx="1">
                  <c:v>2019年</c:v>
                </c:pt>
              </c:strCache>
            </c:strRef>
          </c:cat>
          <c:val>
            <c:numRef>
              <c:f>Sheet1!$B$2:$B$3</c:f>
              <c:numCache>
                <c:formatCode>General</c:formatCode>
                <c:ptCount val="2"/>
                <c:pt idx="0">
                  <c:v>6191.73</c:v>
                </c:pt>
                <c:pt idx="1">
                  <c:v>5634.39</c:v>
                </c:pt>
              </c:numCache>
            </c:numRef>
          </c:val>
        </c:ser>
        <c:dLbls>
          <c:showLegendKey val="0"/>
          <c:showVal val="0"/>
          <c:showCatName val="0"/>
          <c:showSerName val="0"/>
          <c:showPercent val="0"/>
          <c:showBubbleSize val="0"/>
        </c:dLbls>
        <c:gapWidth val="150"/>
        <c:overlap val="0"/>
        <c:axId val="148218874"/>
        <c:axId val="53813129"/>
      </c:barChart>
      <c:catAx>
        <c:axId val="148218874"/>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13129"/>
        <c:crosses val="autoZero"/>
        <c:auto val="1"/>
        <c:lblAlgn val="ctr"/>
        <c:lblOffset val="100"/>
        <c:noMultiLvlLbl val="0"/>
      </c:catAx>
      <c:valAx>
        <c:axId val="53813129"/>
        <c:scaling>
          <c:orientation val="minMax"/>
          <c:max val="70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821887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收入决算结构情况</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0.00%</c:formatCode>
                <c:ptCount val="2"/>
                <c:pt idx="0">
                  <c:v>0.814</c:v>
                </c:pt>
                <c:pt idx="1">
                  <c:v>0.186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支出决算结构情况</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c:formatCode>
                <c:ptCount val="2"/>
                <c:pt idx="0">
                  <c:v>0.61</c:v>
                </c:pt>
                <c:pt idx="1">
                  <c:v>0.39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2018</a:t>
            </a:r>
            <a:r>
              <a:rPr altLang="en-US"/>
              <a:t>年、</a:t>
            </a:r>
            <a:r>
              <a:rPr lang="en-US" altLang="zh-CN"/>
              <a:t>2019</a:t>
            </a:r>
            <a:r>
              <a:rPr altLang="en-US"/>
              <a:t>年相比财政拨款收、支决算总计变动情况图</a:t>
            </a:r>
            <a:endParaRPr altLang="en-US"/>
          </a:p>
        </c:rich>
      </c:tx>
      <c:layout>
        <c:manualLayout>
          <c:xMode val="edge"/>
          <c:yMode val="edge"/>
          <c:x val="0.0976452102217678"/>
          <c:y val="0.010184087695547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c:v>
                </c:pt>
                <c:pt idx="1">
                  <c:v>2019年</c:v>
                </c:pt>
              </c:strCache>
            </c:strRef>
          </c:cat>
          <c:val>
            <c:numRef>
              <c:f>Sheet1!$B$2:$B$3</c:f>
              <c:numCache>
                <c:formatCode>General</c:formatCode>
                <c:ptCount val="2"/>
                <c:pt idx="0">
                  <c:v>6191.73</c:v>
                </c:pt>
                <c:pt idx="1">
                  <c:v>5634.39</c:v>
                </c:pt>
              </c:numCache>
            </c:numRef>
          </c:val>
        </c:ser>
        <c:dLbls>
          <c:showLegendKey val="0"/>
          <c:showVal val="0"/>
          <c:showCatName val="0"/>
          <c:showSerName val="0"/>
          <c:showPercent val="0"/>
          <c:showBubbleSize val="0"/>
        </c:dLbls>
        <c:gapWidth val="150"/>
        <c:overlap val="0"/>
        <c:axId val="148218874"/>
        <c:axId val="53813129"/>
      </c:barChart>
      <c:catAx>
        <c:axId val="148218874"/>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13129"/>
        <c:crosses val="autoZero"/>
        <c:auto val="1"/>
        <c:lblAlgn val="ctr"/>
        <c:lblOffset val="100"/>
        <c:noMultiLvlLbl val="0"/>
      </c:catAx>
      <c:valAx>
        <c:axId val="53813129"/>
        <c:scaling>
          <c:orientation val="minMax"/>
          <c:max val="70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821887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2018</a:t>
            </a:r>
            <a:r>
              <a:rPr altLang="en-US"/>
              <a:t>年、</a:t>
            </a:r>
            <a:r>
              <a:rPr lang="en-US" altLang="zh-CN"/>
              <a:t>2019</a:t>
            </a:r>
            <a:r>
              <a:rPr altLang="en-US"/>
              <a:t>年相比一般公共预算财政拨款收、支决算总计变动情况图</a:t>
            </a:r>
            <a:endParaRPr altLang="en-US"/>
          </a:p>
        </c:rich>
      </c:tx>
      <c:layout>
        <c:manualLayout>
          <c:xMode val="edge"/>
          <c:yMode val="edge"/>
          <c:x val="0.112273013884136"/>
          <c:y val="0.010184087695547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c:v>
                </c:pt>
                <c:pt idx="1">
                  <c:v>2019年</c:v>
                </c:pt>
              </c:strCache>
            </c:strRef>
          </c:cat>
          <c:val>
            <c:numRef>
              <c:f>Sheet1!$B$2:$B$3</c:f>
              <c:numCache>
                <c:formatCode>General</c:formatCode>
                <c:ptCount val="2"/>
                <c:pt idx="0">
                  <c:v>3237.12</c:v>
                </c:pt>
                <c:pt idx="1">
                  <c:v>4585.46</c:v>
                </c:pt>
              </c:numCache>
            </c:numRef>
          </c:val>
        </c:ser>
        <c:dLbls>
          <c:showLegendKey val="0"/>
          <c:showVal val="0"/>
          <c:showCatName val="0"/>
          <c:showSerName val="0"/>
          <c:showPercent val="0"/>
          <c:showBubbleSize val="0"/>
        </c:dLbls>
        <c:gapWidth val="150"/>
        <c:overlap val="0"/>
        <c:axId val="148218874"/>
        <c:axId val="53813129"/>
      </c:barChart>
      <c:catAx>
        <c:axId val="148218874"/>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13129"/>
        <c:crosses val="autoZero"/>
        <c:auto val="1"/>
        <c:lblAlgn val="ctr"/>
        <c:lblOffset val="100"/>
        <c:noMultiLvlLbl val="0"/>
      </c:catAx>
      <c:valAx>
        <c:axId val="53813129"/>
        <c:scaling>
          <c:orientation val="minMax"/>
          <c:max val="50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821887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一般公共预算财政拨款支出决算结构情况</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一般公共服务（类）支出</c:v>
                </c:pt>
                <c:pt idx="1">
                  <c:v>社会保障和就业（类）支出</c:v>
                </c:pt>
                <c:pt idx="2">
                  <c:v>卫生健康（类）支出</c:v>
                </c:pt>
                <c:pt idx="3">
                  <c:v>城乡社区（类）支出</c:v>
                </c:pt>
                <c:pt idx="4">
                  <c:v>农林水（类）支出</c:v>
                </c:pt>
                <c:pt idx="5">
                  <c:v>交通运输（类）支出</c:v>
                </c:pt>
                <c:pt idx="6">
                  <c:v>住房保障（类）支出</c:v>
                </c:pt>
              </c:strCache>
            </c:strRef>
          </c:cat>
          <c:val>
            <c:numRef>
              <c:f>Sheet1!$B$2:$B$8</c:f>
              <c:numCache>
                <c:formatCode>0.00%</c:formatCode>
                <c:ptCount val="7"/>
                <c:pt idx="0">
                  <c:v>0.1552</c:v>
                </c:pt>
                <c:pt idx="1">
                  <c:v>0.034</c:v>
                </c:pt>
                <c:pt idx="2">
                  <c:v>0.0133</c:v>
                </c:pt>
                <c:pt idx="3">
                  <c:v>0.4745</c:v>
                </c:pt>
                <c:pt idx="4">
                  <c:v>0.2394</c:v>
                </c:pt>
                <c:pt idx="5">
                  <c:v>0.0654</c:v>
                </c:pt>
                <c:pt idx="6">
                  <c:v>0.0182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2119</Words>
  <Characters>12082</Characters>
  <Lines>100</Lines>
  <Paragraphs>28</Paragraphs>
  <TotalTime>6</TotalTime>
  <ScaleCrop>false</ScaleCrop>
  <LinksUpToDate>false</LinksUpToDate>
  <CharactersWithSpaces>14173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2020-09-04T06:15:00Z</dcterms:created>
  <dc:creator>王丽靖</dc:creator>
  <cp:lastModifiedBy>镜花缘</cp:lastModifiedBy>
  <cp:lastPrinted>2020-09-04T06:03:00Z</cp:lastPrinted>
  <dcterms:modified xsi:type="dcterms:W3CDTF">2020-09-18T03:02:56Z</dcterms:modified>
  <dc:title>2019年度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