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bookmarkStart w:id="0" w:name="_Hlk89165240"/>
      <w:r>
        <w:rPr>
          <w:rFonts w:hint="default" w:ascii="Times New Roman" w:hAnsi="Times New Roman" w:eastAsia="方正小标宋简体" w:cs="Times New Roman"/>
          <w:b w:val="0"/>
          <w:bCs w:val="0"/>
          <w:color w:val="auto"/>
          <w:sz w:val="44"/>
          <w:szCs w:val="44"/>
          <w:lang w:val="en-US" w:eastAsia="zh-CN"/>
        </w:rPr>
        <w:t>威海市文登区教育和体育局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lang w:val="en-US" w:eastAsia="zh-CN"/>
        </w:rPr>
        <w:t>2021年</w:t>
      </w:r>
      <w:r>
        <w:rPr>
          <w:rFonts w:hint="default" w:ascii="Times New Roman" w:hAnsi="Times New Roman" w:eastAsia="方正小标宋简体" w:cs="Times New Roman"/>
          <w:b w:val="0"/>
          <w:bCs w:val="0"/>
          <w:color w:val="auto"/>
          <w:sz w:val="44"/>
          <w:szCs w:val="44"/>
        </w:rPr>
        <w:t>政府信息公开工作年度报告</w:t>
      </w:r>
    </w:p>
    <w:bookmarkEnd w:id="0"/>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根据新修订的《中华人民共和国政府信息公开条例》要求,现公布威海市文登区</w:t>
      </w:r>
      <w:r>
        <w:rPr>
          <w:rFonts w:hint="default" w:ascii="Times New Roman" w:hAnsi="Times New Roman" w:eastAsia="仿宋_GB2312" w:cs="Times New Roman"/>
          <w:b w:val="0"/>
          <w:bCs w:val="0"/>
          <w:color w:val="auto"/>
          <w:sz w:val="32"/>
          <w:szCs w:val="32"/>
          <w:lang w:val="en-US" w:eastAsia="zh-CN"/>
        </w:rPr>
        <w:t>教育和体育局2021</w:t>
      </w:r>
      <w:r>
        <w:rPr>
          <w:rFonts w:hint="default" w:ascii="Times New Roman" w:hAnsi="Times New Roman" w:eastAsia="仿宋_GB2312" w:cs="Times New Roman"/>
          <w:b w:val="0"/>
          <w:bCs w:val="0"/>
          <w:color w:val="auto"/>
          <w:sz w:val="32"/>
          <w:szCs w:val="32"/>
        </w:rPr>
        <w:t>年政府信息公开工作年度报告。本报告由总体情况、主动公开政府信息情况，收到和处理依申请公开政府信息情况，政府信息公开相关的行政复议、行政诉讼、举报投诉情况，存在的主要问题和改进措施，其他需要报告的事项等部分组成。</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本报告中所列数据的统计期限自202</w:t>
      </w:r>
      <w:r>
        <w:rPr>
          <w:rFonts w:hint="default"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rPr>
        <w:t>年1月1日起至202</w:t>
      </w:r>
      <w:r>
        <w:rPr>
          <w:rFonts w:hint="default"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rPr>
        <w:t>年12月31日止。本报告的电子版可在威海市文登区人民政府门户网站（</w:t>
      </w:r>
      <w:r>
        <w:rPr>
          <w:rFonts w:hint="default" w:ascii="Times New Roman" w:hAnsi="Times New Roman" w:eastAsia="仿宋_GB2312" w:cs="Times New Roman"/>
          <w:b w:val="0"/>
          <w:bCs w:val="0"/>
          <w:color w:val="auto"/>
          <w:sz w:val="32"/>
          <w:szCs w:val="32"/>
          <w:lang w:eastAsia="zh-CN"/>
        </w:rPr>
        <w:t>http://www.wendeng.gov.cn</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政府信息公开专栏</w:t>
      </w:r>
      <w:r>
        <w:rPr>
          <w:rFonts w:hint="default" w:ascii="Times New Roman" w:hAnsi="Times New Roman" w:eastAsia="仿宋_GB2312" w:cs="Times New Roman"/>
          <w:b w:val="0"/>
          <w:bCs w:val="0"/>
          <w:color w:val="auto"/>
          <w:sz w:val="32"/>
          <w:szCs w:val="32"/>
        </w:rPr>
        <w:t>下载。如对本报告有疑问，请与威海市文登区</w:t>
      </w:r>
      <w:r>
        <w:rPr>
          <w:rFonts w:hint="default" w:ascii="Times New Roman" w:hAnsi="Times New Roman" w:eastAsia="仿宋_GB2312" w:cs="Times New Roman"/>
          <w:b w:val="0"/>
          <w:bCs w:val="0"/>
          <w:color w:val="auto"/>
          <w:sz w:val="32"/>
          <w:szCs w:val="32"/>
          <w:lang w:val="en-US" w:eastAsia="zh-CN"/>
        </w:rPr>
        <w:t>教育和体育局办公室</w:t>
      </w:r>
      <w:r>
        <w:rPr>
          <w:rFonts w:hint="default" w:ascii="Times New Roman" w:hAnsi="Times New Roman" w:eastAsia="仿宋_GB2312" w:cs="Times New Roman"/>
          <w:b w:val="0"/>
          <w:bCs w:val="0"/>
          <w:color w:val="auto"/>
          <w:sz w:val="32"/>
          <w:szCs w:val="32"/>
        </w:rPr>
        <w:t>联系（地址：威海市文登区</w:t>
      </w:r>
      <w:r>
        <w:rPr>
          <w:rFonts w:hint="default" w:ascii="Times New Roman" w:hAnsi="Times New Roman" w:eastAsia="仿宋_GB2312" w:cs="Times New Roman"/>
          <w:b w:val="0"/>
          <w:bCs w:val="0"/>
          <w:color w:val="auto"/>
          <w:sz w:val="32"/>
          <w:szCs w:val="32"/>
          <w:lang w:val="en-US" w:eastAsia="zh-CN"/>
        </w:rPr>
        <w:t>世纪大道84号</w:t>
      </w:r>
      <w:r>
        <w:rPr>
          <w:rFonts w:hint="default" w:ascii="Times New Roman" w:hAnsi="Times New Roman" w:eastAsia="仿宋_GB2312" w:cs="Times New Roman"/>
          <w:b w:val="0"/>
          <w:bCs w:val="0"/>
          <w:color w:val="auto"/>
          <w:sz w:val="32"/>
          <w:szCs w:val="32"/>
        </w:rPr>
        <w:t>；邮编264400；电话：0631—</w:t>
      </w:r>
      <w:r>
        <w:rPr>
          <w:rFonts w:hint="default" w:ascii="Times New Roman" w:hAnsi="Times New Roman" w:eastAsia="仿宋_GB2312" w:cs="Times New Roman"/>
          <w:b w:val="0"/>
          <w:bCs w:val="0"/>
          <w:color w:val="auto"/>
          <w:sz w:val="32"/>
          <w:szCs w:val="32"/>
          <w:lang w:val="en-US" w:eastAsia="zh-CN"/>
        </w:rPr>
        <w:t>8452998</w:t>
      </w:r>
      <w:r>
        <w:rPr>
          <w:rFonts w:hint="default" w:ascii="Times New Roman" w:hAnsi="Times New Roman" w:eastAsia="仿宋_GB2312" w:cs="Times New Roman"/>
          <w:b w:val="0"/>
          <w:bCs w:val="0"/>
          <w:color w:val="auto"/>
          <w:sz w:val="32"/>
          <w:szCs w:val="32"/>
        </w:rPr>
        <w:t>）。</w:t>
      </w:r>
    </w:p>
    <w:p>
      <w:pPr>
        <w:pStyle w:val="2"/>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val="en-US" w:eastAsia="zh-CN"/>
        </w:rPr>
        <w:t>一、</w:t>
      </w:r>
      <w:r>
        <w:rPr>
          <w:rFonts w:hint="default" w:ascii="Times New Roman" w:hAnsi="Times New Roman" w:eastAsia="黑体" w:cs="Times New Roman"/>
          <w:b w:val="0"/>
          <w:bCs w:val="0"/>
          <w:color w:val="auto"/>
        </w:rPr>
        <w:t>总体情况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2021</w:t>
      </w:r>
      <w:r>
        <w:rPr>
          <w:rFonts w:hint="default" w:ascii="Times New Roman" w:hAnsi="Times New Roman" w:eastAsia="仿宋_GB2312" w:cs="Times New Roman"/>
          <w:b w:val="0"/>
          <w:bCs w:val="0"/>
          <w:color w:val="auto"/>
          <w:sz w:val="32"/>
          <w:szCs w:val="32"/>
        </w:rPr>
        <w:t>年，</w:t>
      </w:r>
      <w:r>
        <w:rPr>
          <w:rFonts w:hint="default" w:ascii="Times New Roman" w:hAnsi="Times New Roman" w:eastAsia="仿宋_GB2312" w:cs="Times New Roman"/>
          <w:b w:val="0"/>
          <w:bCs w:val="0"/>
          <w:color w:val="auto"/>
          <w:sz w:val="32"/>
          <w:szCs w:val="32"/>
          <w:lang w:val="en-US" w:eastAsia="zh-CN"/>
        </w:rPr>
        <w:t>威海市文登区教育和体育局</w:t>
      </w:r>
      <w:r>
        <w:rPr>
          <w:rFonts w:hint="default" w:ascii="Times New Roman" w:hAnsi="Times New Roman" w:eastAsia="仿宋_GB2312" w:cs="Times New Roman"/>
          <w:b w:val="0"/>
          <w:bCs w:val="0"/>
          <w:color w:val="auto"/>
          <w:sz w:val="32"/>
          <w:szCs w:val="32"/>
        </w:rPr>
        <w:t>坚持贯彻落实《中华人民共和国政府信息公开条例》</w:t>
      </w:r>
      <w:r>
        <w:rPr>
          <w:rFonts w:hint="default" w:ascii="Times New Roman" w:hAnsi="Times New Roman" w:eastAsia="仿宋_GB2312" w:cs="Times New Roman"/>
          <w:b w:val="0"/>
          <w:bCs w:val="0"/>
          <w:color w:val="auto"/>
          <w:sz w:val="32"/>
          <w:szCs w:val="32"/>
          <w:lang w:val="en-US" w:eastAsia="zh-CN"/>
        </w:rPr>
        <w:t>及市区政府信息公开工作要求</w:t>
      </w:r>
      <w:r>
        <w:rPr>
          <w:rFonts w:hint="default" w:ascii="Times New Roman" w:hAnsi="Times New Roman" w:eastAsia="仿宋_GB2312" w:cs="Times New Roman"/>
          <w:b w:val="0"/>
          <w:bCs w:val="0"/>
          <w:color w:val="auto"/>
          <w:sz w:val="32"/>
          <w:szCs w:val="32"/>
        </w:rPr>
        <w:t>，遵循“公开为常态、不公开为例外”的原则，通过扩大公开领域，规范依申请公开， 健全公开机制，优化公开载体，强化监督保障，不断提升政府信息公开工作的质量和实效。</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（一）主动公开情况</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rPr>
        <w:t>按要求在“威海市文登区人民政府”网站政务公开栏目及时公布威海市文登区教育和体育局机构职能、部门领导、机构设置、工作动态、公告公示等需要主动公开的政务信息。在教育领域、公共文化体育部分，主动公开威海市文登区教育和体育局承担的公共服务信息。</w:t>
      </w:r>
      <w:r>
        <w:rPr>
          <w:rFonts w:hint="default" w:ascii="Times New Roman" w:hAnsi="Times New Roman" w:eastAsia="仿宋_GB2312" w:cs="Times New Roman"/>
          <w:b w:val="0"/>
          <w:bCs w:val="0"/>
          <w:color w:val="auto"/>
          <w:sz w:val="32"/>
          <w:szCs w:val="32"/>
          <w:lang w:val="en-US" w:eastAsia="zh-CN"/>
        </w:rPr>
        <w:t xml:space="preserve">  </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drawing>
          <wp:anchor distT="0" distB="0" distL="114300" distR="114300" simplePos="0" relativeHeight="251659264" behindDoc="0" locked="0" layoutInCell="1" allowOverlap="1">
            <wp:simplePos x="0" y="0"/>
            <wp:positionH relativeFrom="column">
              <wp:posOffset>95250</wp:posOffset>
            </wp:positionH>
            <wp:positionV relativeFrom="paragraph">
              <wp:posOffset>160655</wp:posOffset>
            </wp:positionV>
            <wp:extent cx="5434330" cy="2506980"/>
            <wp:effectExtent l="0" t="0" r="13970" b="7620"/>
            <wp:wrapSquare wrapText="bothSides"/>
            <wp:docPr id="2" name="图片 2" descr="QQ截图2022012716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20127162955"/>
                    <pic:cNvPicPr>
                      <a:picLocks noChangeAspect="1"/>
                    </pic:cNvPicPr>
                  </pic:nvPicPr>
                  <pic:blipFill>
                    <a:blip r:embed="rId4"/>
                    <a:stretch>
                      <a:fillRect/>
                    </a:stretch>
                  </pic:blipFill>
                  <pic:spPr>
                    <a:xfrm>
                      <a:off x="0" y="0"/>
                      <a:ext cx="5434330" cy="2506980"/>
                    </a:xfrm>
                    <a:prstGeom prst="rect">
                      <a:avLst/>
                    </a:prstGeom>
                  </pic:spPr>
                </pic:pic>
              </a:graphicData>
            </a:graphic>
          </wp:anchor>
        </w:drawing>
      </w:r>
      <w:r>
        <w:rPr>
          <w:rFonts w:hint="default" w:ascii="Times New Roman" w:hAnsi="Times New Roman" w:eastAsia="仿宋_GB2312" w:cs="Times New Roman"/>
          <w:b w:val="0"/>
          <w:bCs w:val="0"/>
          <w:color w:val="auto"/>
          <w:sz w:val="32"/>
          <w:szCs w:val="32"/>
        </w:rPr>
        <w:t>在发布解读、回应社会关切情况方面，</w:t>
      </w:r>
      <w:r>
        <w:rPr>
          <w:rFonts w:hint="default" w:ascii="Times New Roman" w:hAnsi="Times New Roman" w:eastAsia="仿宋_GB2312" w:cs="Times New Roman"/>
          <w:b w:val="0"/>
          <w:bCs w:val="0"/>
          <w:color w:val="auto"/>
          <w:sz w:val="32"/>
          <w:szCs w:val="32"/>
          <w:lang w:val="en-US" w:eastAsia="zh-CN"/>
        </w:rPr>
        <w:t>通过</w:t>
      </w:r>
      <w:r>
        <w:rPr>
          <w:rFonts w:hint="default" w:ascii="Times New Roman" w:hAnsi="Times New Roman" w:eastAsia="仿宋_GB2312" w:cs="Times New Roman"/>
          <w:b w:val="0"/>
          <w:bCs w:val="0"/>
          <w:color w:val="auto"/>
          <w:sz w:val="32"/>
          <w:szCs w:val="32"/>
        </w:rPr>
        <w:t>政府网站、微信公众号等多种形式，开设政策解读专栏，主动、及时、准确发布政策解读，回应社会各界关切</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共发布</w:t>
      </w:r>
      <w:r>
        <w:rPr>
          <w:rFonts w:hint="default" w:ascii="Times New Roman" w:hAnsi="Times New Roman" w:eastAsia="仿宋_GB2312" w:cs="Times New Roman"/>
          <w:b w:val="0"/>
          <w:bCs w:val="0"/>
          <w:color w:val="auto"/>
          <w:sz w:val="32"/>
          <w:szCs w:val="32"/>
          <w:lang w:val="en-US" w:eastAsia="zh-CN"/>
        </w:rPr>
        <w:t>政策</w:t>
      </w:r>
      <w:r>
        <w:rPr>
          <w:rFonts w:hint="default" w:ascii="Times New Roman" w:hAnsi="Times New Roman" w:eastAsia="仿宋_GB2312" w:cs="Times New Roman"/>
          <w:b w:val="0"/>
          <w:bCs w:val="0"/>
          <w:color w:val="auto"/>
          <w:sz w:val="32"/>
          <w:szCs w:val="32"/>
        </w:rPr>
        <w:t>解读</w:t>
      </w:r>
      <w:r>
        <w:rPr>
          <w:rFonts w:hint="default"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rPr>
        <w:t>条。加大主动公开政府信息工作的力度，今年，威海市文登区教育和体育局在政府信息公开网站主动公开发布各类信息</w:t>
      </w:r>
      <w:r>
        <w:rPr>
          <w:rFonts w:hint="default" w:ascii="Times New Roman" w:hAnsi="Times New Roman" w:eastAsia="仿宋_GB2312" w:cs="Times New Roman"/>
          <w:b w:val="0"/>
          <w:bCs w:val="0"/>
          <w:color w:val="auto"/>
          <w:sz w:val="32"/>
          <w:szCs w:val="32"/>
          <w:lang w:val="en-US" w:eastAsia="zh-CN"/>
        </w:rPr>
        <w:t>196</w:t>
      </w:r>
      <w:r>
        <w:rPr>
          <w:rFonts w:hint="default" w:ascii="Times New Roman" w:hAnsi="Times New Roman" w:eastAsia="仿宋_GB2312" w:cs="Times New Roman"/>
          <w:b w:val="0"/>
          <w:bCs w:val="0"/>
          <w:color w:val="auto"/>
          <w:sz w:val="32"/>
          <w:szCs w:val="32"/>
        </w:rPr>
        <w:t>条。从内容上看，发布工作动态</w:t>
      </w:r>
      <w:r>
        <w:rPr>
          <w:rFonts w:hint="default" w:ascii="Times New Roman" w:hAnsi="Times New Roman" w:eastAsia="仿宋_GB2312" w:cs="Times New Roman"/>
          <w:b w:val="0"/>
          <w:bCs w:val="0"/>
          <w:color w:val="auto"/>
          <w:sz w:val="32"/>
          <w:szCs w:val="32"/>
          <w:lang w:val="en-US" w:eastAsia="zh-CN"/>
        </w:rPr>
        <w:t>120</w:t>
      </w:r>
      <w:r>
        <w:rPr>
          <w:rFonts w:hint="default" w:ascii="Times New Roman" w:hAnsi="Times New Roman" w:eastAsia="仿宋_GB2312" w:cs="Times New Roman"/>
          <w:b w:val="0"/>
          <w:bCs w:val="0"/>
          <w:color w:val="auto"/>
          <w:sz w:val="32"/>
          <w:szCs w:val="32"/>
        </w:rPr>
        <w:t>条</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公告公示信息</w:t>
      </w:r>
      <w:r>
        <w:rPr>
          <w:rFonts w:hint="default" w:ascii="Times New Roman" w:hAnsi="Times New Roman" w:eastAsia="仿宋_GB2312" w:cs="Times New Roman"/>
          <w:b w:val="0"/>
          <w:bCs w:val="0"/>
          <w:color w:val="auto"/>
          <w:sz w:val="32"/>
          <w:szCs w:val="32"/>
          <w:lang w:val="en-US" w:eastAsia="zh-CN"/>
        </w:rPr>
        <w:t>34</w:t>
      </w:r>
      <w:r>
        <w:rPr>
          <w:rFonts w:hint="default" w:ascii="Times New Roman" w:hAnsi="Times New Roman" w:eastAsia="仿宋_GB2312" w:cs="Times New Roman"/>
          <w:b w:val="0"/>
          <w:bCs w:val="0"/>
          <w:color w:val="auto"/>
          <w:sz w:val="32"/>
          <w:szCs w:val="32"/>
        </w:rPr>
        <w:t>条</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人事信息、机构职能、政策文件等42条</w:t>
      </w:r>
      <w:r>
        <w:rPr>
          <w:rFonts w:hint="default" w:ascii="Times New Roman" w:hAnsi="Times New Roman" w:eastAsia="仿宋_GB2312" w:cs="Times New Roman"/>
          <w:b w:val="0"/>
          <w:bCs w:val="0"/>
          <w:color w:val="auto"/>
          <w:sz w:val="32"/>
          <w:szCs w:val="32"/>
        </w:rPr>
        <w:t>。</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（二）依申请公开情况</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2021年，威海市文登区教育和体育局共收到政务信息公开申请事项3项，主要涉及疫情防控预案、特校数量等，其中2项予以公开，1项属于“信访举报投诉类申请”，建议其按其他途径咨询。较去年增加两项，均未收取费用。</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（三）政府信息管理情况</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rPr>
      </w:pPr>
      <w:r>
        <w:rPr>
          <w:rFonts w:hint="default" w:ascii="Times New Roman" w:hAnsi="Times New Roman" w:eastAsia="仿宋_GB2312" w:cs="Times New Roman"/>
          <w:b w:val="0"/>
          <w:bCs w:val="0"/>
          <w:color w:val="auto"/>
          <w:sz w:val="32"/>
          <w:szCs w:val="32"/>
          <w:lang w:val="en-US" w:eastAsia="zh-CN"/>
        </w:rPr>
        <w:t>一年来，威海市文登区教育和体育局不断优化工作流程，强化信息公开力度，严格执行信息发布审批制度，定期更新部门领导信息等内容。年内，本部门未制发规范性文件，不存在此项信息管理。</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（四）政府信息公开平台建设情况</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在区政府网站建立“义务教育”专栏，并定期更新。继续抓好政务新媒体运营工作，建立并完善政务新媒体信息发布机制。在政务新媒体“文登区教育和体育局”上开辟“微查询”“微服务”等专栏，及时公开相关信息。定期召开校园开放日等，坚持重大决策事项召开新闻发布会向社会公开。</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（五）</w:t>
      </w:r>
      <w:r>
        <w:rPr>
          <w:rFonts w:hint="default" w:ascii="Times New Roman" w:hAnsi="Times New Roman" w:eastAsia="楷体_GB2312" w:cs="Times New Roman"/>
          <w:b w:val="0"/>
          <w:bCs w:val="0"/>
          <w:color w:val="auto"/>
          <w:sz w:val="32"/>
          <w:szCs w:val="32"/>
        </w:rPr>
        <w:t>监督保障</w:t>
      </w:r>
      <w:r>
        <w:rPr>
          <w:rFonts w:hint="default" w:ascii="Times New Roman" w:hAnsi="Times New Roman" w:eastAsia="楷体_GB2312" w:cs="Times New Roman"/>
          <w:b w:val="0"/>
          <w:bCs w:val="0"/>
          <w:color w:val="auto"/>
          <w:sz w:val="32"/>
          <w:szCs w:val="32"/>
          <w:lang w:eastAsia="zh-CN"/>
        </w:rPr>
        <w:t>情况</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drawing>
          <wp:anchor distT="0" distB="0" distL="114300" distR="114300" simplePos="0" relativeHeight="251660288" behindDoc="1" locked="0" layoutInCell="1" allowOverlap="1">
            <wp:simplePos x="0" y="0"/>
            <wp:positionH relativeFrom="column">
              <wp:posOffset>304800</wp:posOffset>
            </wp:positionH>
            <wp:positionV relativeFrom="paragraph">
              <wp:posOffset>1161415</wp:posOffset>
            </wp:positionV>
            <wp:extent cx="5213350" cy="2117725"/>
            <wp:effectExtent l="0" t="0" r="6350" b="15875"/>
            <wp:wrapTight wrapText="bothSides">
              <wp:wrapPolygon>
                <wp:start x="0" y="0"/>
                <wp:lineTo x="0" y="21373"/>
                <wp:lineTo x="21547" y="21373"/>
                <wp:lineTo x="21547" y="0"/>
                <wp:lineTo x="0" y="0"/>
              </wp:wrapPolygon>
            </wp:wrapTight>
            <wp:docPr id="4" name="图片 4" descr="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11111111111111"/>
                    <pic:cNvPicPr>
                      <a:picLocks noChangeAspect="1"/>
                    </pic:cNvPicPr>
                  </pic:nvPicPr>
                  <pic:blipFill>
                    <a:blip r:embed="rId5"/>
                    <a:stretch>
                      <a:fillRect/>
                    </a:stretch>
                  </pic:blipFill>
                  <pic:spPr>
                    <a:xfrm>
                      <a:off x="0" y="0"/>
                      <a:ext cx="5213350" cy="2117725"/>
                    </a:xfrm>
                    <a:prstGeom prst="rect">
                      <a:avLst/>
                    </a:prstGeom>
                  </pic:spPr>
                </pic:pic>
              </a:graphicData>
            </a:graphic>
          </wp:anchor>
        </w:drawing>
      </w:r>
      <w:r>
        <w:rPr>
          <w:rFonts w:hint="default" w:ascii="Times New Roman" w:hAnsi="Times New Roman" w:eastAsia="仿宋_GB2312" w:cs="Times New Roman"/>
          <w:b w:val="0"/>
          <w:bCs w:val="0"/>
          <w:color w:val="auto"/>
          <w:sz w:val="32"/>
          <w:szCs w:val="32"/>
          <w:lang w:val="en-US" w:eastAsia="zh-CN"/>
        </w:rPr>
        <w:t>2021年，威海市文登区教育和体育局指导下属20所学校扎实做好政府信息更新工作，机关设政务公开专职工作人员一名，分管负责人一名，年内开展机关干部全员培训一次，并将此项工作列入机关干部年度考核。</w:t>
      </w:r>
    </w:p>
    <w:p>
      <w:pPr>
        <w:pStyle w:val="2"/>
        <w:pageBreakBefore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eastAsia="zh-CN"/>
        </w:rPr>
        <w:t>二、</w:t>
      </w:r>
      <w:r>
        <w:rPr>
          <w:rFonts w:hint="default" w:ascii="Times New Roman" w:hAnsi="Times New Roman" w:eastAsia="黑体" w:cs="Times New Roman"/>
          <w:b w:val="0"/>
          <w:bCs w:val="0"/>
          <w:color w:val="auto"/>
        </w:rPr>
        <w:t>主动公开政府信息情况</w:t>
      </w:r>
    </w:p>
    <w:tbl>
      <w:tblPr>
        <w:tblStyle w:val="3"/>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lang w:val="en-US" w:eastAsia="zh-CN"/>
              </w:rPr>
            </w:pPr>
            <w:r>
              <w:rPr>
                <w:rFonts w:hint="default" w:ascii="Times New Roman" w:hAnsi="Times New Roman" w:eastAsia="仿宋_GB2312" w:cs="Times New Roman"/>
                <w:b w:val="0"/>
                <w:bCs w:val="0"/>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lang w:val="en-US" w:eastAsia="zh-CN"/>
              </w:rPr>
            </w:pPr>
            <w:r>
              <w:rPr>
                <w:rFonts w:hint="default" w:ascii="Times New Roman" w:hAnsi="Times New Roman" w:eastAsia="仿宋_GB2312" w:cs="Times New Roman"/>
                <w:b w:val="0"/>
                <w:bCs w:val="0"/>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lang w:val="en-US" w:eastAsia="zh-CN"/>
              </w:rPr>
            </w:pPr>
            <w:r>
              <w:rPr>
                <w:rFonts w:hint="default" w:ascii="Times New Roman" w:hAnsi="Times New Roman" w:eastAsia="仿宋_GB2312" w:cs="Times New Roman"/>
                <w:b w:val="0"/>
                <w:bCs w:val="0"/>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lang w:val="en-US" w:eastAsia="zh-CN"/>
              </w:rPr>
            </w:pPr>
            <w:r>
              <w:rPr>
                <w:rFonts w:hint="default" w:ascii="Times New Roman" w:hAnsi="Times New Roman" w:eastAsia="仿宋_GB2312" w:cs="Times New Roman"/>
                <w:b w:val="0"/>
                <w:bCs w:val="0"/>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lang w:val="en-US" w:eastAsia="zh-CN"/>
              </w:rPr>
            </w:pPr>
            <w:r>
              <w:rPr>
                <w:rFonts w:hint="default" w:ascii="Times New Roman" w:hAnsi="Times New Roman" w:eastAsia="仿宋_GB2312" w:cs="Times New Roman"/>
                <w:b w:val="0"/>
                <w:bCs w:val="0"/>
                <w:color w:val="auto"/>
                <w:kern w:val="0"/>
                <w:szCs w:val="21"/>
                <w:lang w:val="en-US" w:eastAsia="zh-CN"/>
              </w:rPr>
              <w:t>1</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lang w:val="en-US" w:eastAsia="zh-CN"/>
              </w:rPr>
            </w:pPr>
            <w:r>
              <w:rPr>
                <w:rFonts w:hint="default" w:ascii="Times New Roman" w:hAnsi="Times New Roman" w:eastAsia="仿宋_GB2312" w:cs="Times New Roman"/>
                <w:b w:val="0"/>
                <w:bCs w:val="0"/>
                <w:color w:val="auto"/>
                <w:kern w:val="0"/>
                <w:szCs w:val="21"/>
                <w:lang w:val="en-US" w:eastAsia="zh-CN"/>
              </w:rPr>
              <w:t>440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lang w:val="en-US" w:eastAsia="zh-CN"/>
              </w:rPr>
            </w:pPr>
            <w:r>
              <w:rPr>
                <w:rFonts w:hint="default" w:ascii="Times New Roman" w:hAnsi="Times New Roman" w:eastAsia="仿宋_GB2312" w:cs="Times New Roman"/>
                <w:b w:val="0"/>
                <w:bCs w:val="0"/>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lang w:val="en-US" w:eastAsia="zh-CN"/>
              </w:rPr>
            </w:pPr>
            <w:r>
              <w:rPr>
                <w:rFonts w:hint="default" w:ascii="Times New Roman" w:hAnsi="Times New Roman" w:eastAsia="仿宋_GB2312" w:cs="Times New Roman"/>
                <w:b w:val="0"/>
                <w:bCs w:val="0"/>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center"/>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20" w:firstLineChars="200"/>
              <w:jc w:val="left"/>
              <w:textAlignment w:val="auto"/>
              <w:rPr>
                <w:rFonts w:hint="default" w:ascii="Times New Roman" w:hAnsi="Times New Roman" w:eastAsia="仿宋_GB2312" w:cs="Times New Roman"/>
                <w:b w:val="0"/>
                <w:bCs w:val="0"/>
                <w:color w:val="auto"/>
                <w:kern w:val="0"/>
                <w:szCs w:val="21"/>
              </w:rPr>
            </w:pPr>
            <w:r>
              <w:rPr>
                <w:rFonts w:hint="default" w:ascii="Times New Roman" w:hAnsi="Times New Roman" w:eastAsia="仿宋_GB2312" w:cs="Times New Roman"/>
                <w:b w:val="0"/>
                <w:bCs w:val="0"/>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ind w:firstLine="480" w:firstLineChars="200"/>
              <w:jc w:val="center"/>
              <w:textAlignment w:val="auto"/>
              <w:rPr>
                <w:rFonts w:hint="default" w:ascii="Times New Roman" w:hAnsi="Times New Roman" w:eastAsia="仿宋_GB2312" w:cs="Times New Roman"/>
                <w:b w:val="0"/>
                <w:bCs w:val="0"/>
                <w:color w:val="auto"/>
                <w:kern w:val="0"/>
                <w:szCs w:val="21"/>
                <w:lang w:val="en-US" w:eastAsia="zh-CN"/>
              </w:rPr>
            </w:pPr>
            <w:r>
              <w:rPr>
                <w:rFonts w:hint="default" w:ascii="Times New Roman" w:hAnsi="Times New Roman" w:eastAsia="宋体" w:cs="Times New Roman"/>
                <w:b w:val="0"/>
                <w:bCs w:val="0"/>
                <w:color w:val="auto"/>
                <w:sz w:val="24"/>
                <w:szCs w:val="24"/>
                <w:lang w:val="en-US" w:eastAsia="zh-CN"/>
              </w:rPr>
              <w:t>3238.55</w:t>
            </w:r>
          </w:p>
        </w:tc>
      </w:tr>
    </w:tbl>
    <w:p>
      <w:pPr>
        <w:pageBreakBefore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b w:val="0"/>
          <w:bCs w:val="0"/>
          <w:color w:val="auto"/>
          <w:sz w:val="32"/>
          <w:szCs w:val="32"/>
        </w:rPr>
      </w:pP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sectPr>
          <w:pgSz w:w="11906" w:h="16838"/>
          <w:pgMar w:top="2098" w:right="1531" w:bottom="2098" w:left="1531" w:header="851" w:footer="992" w:gutter="0"/>
          <w:cols w:space="425" w:num="1"/>
          <w:docGrid w:type="lines" w:linePitch="312" w:charSpace="0"/>
        </w:sectPr>
      </w:pPr>
    </w:p>
    <w:p>
      <w:pPr>
        <w:pStyle w:val="2"/>
        <w:pageBreakBefore w:val="0"/>
        <w:numPr>
          <w:ilvl w:val="0"/>
          <w:numId w:val="0"/>
        </w:numPr>
        <w:kinsoku/>
        <w:wordWrap/>
        <w:overflowPunct/>
        <w:topLinePunct w:val="0"/>
        <w:autoSpaceDE/>
        <w:autoSpaceDN/>
        <w:bidi w:val="0"/>
        <w:adjustRightInd/>
        <w:snapToGrid/>
        <w:spacing w:before="0" w:after="0" w:line="560" w:lineRule="exact"/>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eastAsia="zh-CN"/>
        </w:rPr>
        <w:t>三、</w:t>
      </w:r>
      <w:r>
        <w:rPr>
          <w:rFonts w:hint="default" w:ascii="Times New Roman" w:hAnsi="Times New Roman" w:eastAsia="黑体" w:cs="Times New Roman"/>
          <w:b w:val="0"/>
          <w:bCs w:val="0"/>
          <w:color w:val="auto"/>
        </w:rPr>
        <w:t>行政机关收到和处理政府信息公开申请情况</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p>
    <w:tbl>
      <w:tblPr>
        <w:tblStyle w:val="3"/>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85"/>
        <w:gridCol w:w="1232"/>
        <w:gridCol w:w="3298"/>
        <w:gridCol w:w="540"/>
        <w:gridCol w:w="675"/>
        <w:gridCol w:w="690"/>
        <w:gridCol w:w="615"/>
        <w:gridCol w:w="560"/>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415" w:type="dxa"/>
            <w:gridSpan w:val="3"/>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center"/>
              <w:textAlignment w:val="auto"/>
              <w:rPr>
                <w:rFonts w:hint="default" w:ascii="Times New Roman" w:hAnsi="Times New Roman" w:eastAsia="楷体_GB2312" w:cs="Times New Roman"/>
                <w:b w:val="0"/>
                <w:bCs w:val="0"/>
                <w:color w:val="auto"/>
                <w:kern w:val="0"/>
                <w:szCs w:val="21"/>
              </w:rPr>
            </w:pPr>
            <w:r>
              <w:rPr>
                <w:rFonts w:hint="default" w:ascii="Times New Roman" w:hAnsi="Times New Roman" w:eastAsia="楷体_GB2312" w:cs="Times New Roman"/>
                <w:b w:val="0"/>
                <w:bCs w:val="0"/>
                <w:color w:val="auto"/>
                <w:kern w:val="0"/>
                <w:szCs w:val="21"/>
              </w:rPr>
              <w:t>（本列数据的勾稽关系为：第一项加第二项之和，</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center"/>
              <w:textAlignment w:val="auto"/>
              <w:rPr>
                <w:rFonts w:hint="default" w:ascii="Times New Roman" w:hAnsi="Times New Roman" w:eastAsia="仿宋_GB2312" w:cs="Times New Roman"/>
                <w:b w:val="0"/>
                <w:bCs w:val="0"/>
                <w:color w:val="auto"/>
                <w:szCs w:val="21"/>
              </w:rPr>
            </w:pPr>
            <w:r>
              <w:rPr>
                <w:rFonts w:hint="default" w:ascii="Times New Roman" w:hAnsi="Times New Roman" w:eastAsia="楷体_GB2312" w:cs="Times New Roman"/>
                <w:b w:val="0"/>
                <w:bCs w:val="0"/>
                <w:color w:val="auto"/>
                <w:kern w:val="0"/>
                <w:szCs w:val="21"/>
              </w:rPr>
              <w:t>等于第三项加第四项之和）</w:t>
            </w:r>
          </w:p>
        </w:tc>
        <w:tc>
          <w:tcPr>
            <w:tcW w:w="449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center"/>
              <w:textAlignment w:val="auto"/>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415" w:type="dxa"/>
            <w:gridSpan w:val="3"/>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center"/>
              <w:textAlignment w:val="auto"/>
              <w:rPr>
                <w:rFonts w:hint="default" w:ascii="Times New Roman" w:hAnsi="Times New Roman" w:eastAsia="仿宋_GB2312" w:cs="Times New Roman"/>
                <w:b w:val="0"/>
                <w:bCs w:val="0"/>
                <w:color w:val="auto"/>
                <w:szCs w:val="21"/>
              </w:rPr>
            </w:pPr>
          </w:p>
        </w:tc>
        <w:tc>
          <w:tcPr>
            <w:tcW w:w="540"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kern w:val="0"/>
                <w:szCs w:val="21"/>
              </w:rPr>
              <w:t>自然人</w:t>
            </w:r>
          </w:p>
        </w:tc>
        <w:tc>
          <w:tcPr>
            <w:tcW w:w="3107"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法人或其他组织</w:t>
            </w:r>
          </w:p>
        </w:tc>
        <w:tc>
          <w:tcPr>
            <w:tcW w:w="851"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415" w:type="dxa"/>
            <w:gridSpan w:val="3"/>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center"/>
              <w:textAlignment w:val="auto"/>
              <w:rPr>
                <w:rFonts w:hint="default" w:ascii="Times New Roman" w:hAnsi="Times New Roman" w:eastAsia="仿宋_GB2312" w:cs="Times New Roman"/>
                <w:b w:val="0"/>
                <w:bCs w:val="0"/>
                <w:color w:val="auto"/>
                <w:szCs w:val="21"/>
              </w:rPr>
            </w:pPr>
          </w:p>
        </w:tc>
        <w:tc>
          <w:tcPr>
            <w:tcW w:w="540"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jc w:val="center"/>
              <w:textAlignment w:val="auto"/>
              <w:rPr>
                <w:rFonts w:hint="default" w:ascii="Times New Roman" w:hAnsi="Times New Roman" w:eastAsia="黑体" w:cs="Times New Roman"/>
                <w:b w:val="0"/>
                <w:bCs w:val="0"/>
                <w:color w:val="auto"/>
                <w:szCs w:val="21"/>
              </w:rPr>
            </w:pP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商业企业</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科研机构</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社会公益组织</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法律服务机构</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其他</w:t>
            </w:r>
          </w:p>
        </w:tc>
        <w:tc>
          <w:tcPr>
            <w:tcW w:w="851"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b w:val="0"/>
                <w:bCs w:val="0"/>
                <w:color w:val="auto"/>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415"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一、</w:t>
            </w:r>
            <w:bookmarkStart w:id="1" w:name="_Hlk66973412"/>
            <w:r>
              <w:rPr>
                <w:rFonts w:hint="default" w:ascii="Times New Roman" w:hAnsi="Times New Roman" w:eastAsia="黑体" w:cs="Times New Roman"/>
                <w:b w:val="0"/>
                <w:bCs w:val="0"/>
                <w:color w:val="auto"/>
                <w:kern w:val="0"/>
                <w:szCs w:val="21"/>
              </w:rPr>
              <w:t>本年新收政府信息公开申请数量</w:t>
            </w:r>
            <w:bookmarkEnd w:id="1"/>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3</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415"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二、上年结转政府信息公开申请数量</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885"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三、本年度办理结果</w:t>
            </w:r>
          </w:p>
        </w:tc>
        <w:tc>
          <w:tcPr>
            <w:tcW w:w="453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（一）予以公开</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2</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453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（二）部分公开（</w:t>
            </w:r>
            <w:bookmarkStart w:id="2" w:name="_Hlk66973981"/>
            <w:r>
              <w:rPr>
                <w:rFonts w:hint="default" w:ascii="Times New Roman" w:hAnsi="Times New Roman" w:eastAsia="黑体" w:cs="Times New Roman"/>
                <w:b w:val="0"/>
                <w:bCs w:val="0"/>
                <w:color w:val="auto"/>
                <w:kern w:val="0"/>
                <w:szCs w:val="21"/>
              </w:rPr>
              <w:t>区分处理的，只计这一情形，不计其他情形</w:t>
            </w:r>
            <w:bookmarkEnd w:id="2"/>
            <w:r>
              <w:rPr>
                <w:rFonts w:hint="default" w:ascii="Times New Roman" w:hAnsi="Times New Roman" w:eastAsia="黑体" w:cs="Times New Roman"/>
                <w:b w:val="0"/>
                <w:bCs w:val="0"/>
                <w:color w:val="auto"/>
                <w:kern w:val="0"/>
                <w:szCs w:val="21"/>
              </w:rPr>
              <w:t>）</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（三）不予公开</w:t>
            </w: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1.属于国家秘密</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2.</w:t>
            </w:r>
            <w:bookmarkStart w:id="3" w:name="_Hlk66974104"/>
            <w:r>
              <w:rPr>
                <w:rFonts w:hint="default" w:ascii="Times New Roman" w:hAnsi="Times New Roman" w:eastAsia="黑体" w:cs="Times New Roman"/>
                <w:b w:val="0"/>
                <w:bCs w:val="0"/>
                <w:color w:val="auto"/>
                <w:kern w:val="0"/>
                <w:szCs w:val="21"/>
              </w:rPr>
              <w:t>其他法律行政法规禁止公开</w:t>
            </w:r>
            <w:bookmarkEnd w:id="3"/>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3.危及“三安全一稳定”</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4.</w:t>
            </w:r>
            <w:bookmarkStart w:id="4" w:name="_Hlk66974290"/>
            <w:r>
              <w:rPr>
                <w:rFonts w:hint="default" w:ascii="Times New Roman" w:hAnsi="Times New Roman" w:eastAsia="黑体" w:cs="Times New Roman"/>
                <w:b w:val="0"/>
                <w:bCs w:val="0"/>
                <w:color w:val="auto"/>
                <w:kern w:val="0"/>
                <w:szCs w:val="21"/>
              </w:rPr>
              <w:t>保护第三方合法权益</w:t>
            </w:r>
            <w:bookmarkEnd w:id="4"/>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5.属于三类内部事务信息</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6.</w:t>
            </w:r>
            <w:bookmarkStart w:id="5" w:name="_Hlk66974555"/>
            <w:r>
              <w:rPr>
                <w:rFonts w:hint="default" w:ascii="Times New Roman" w:hAnsi="Times New Roman" w:eastAsia="黑体" w:cs="Times New Roman"/>
                <w:b w:val="0"/>
                <w:bCs w:val="0"/>
                <w:color w:val="auto"/>
                <w:kern w:val="0"/>
                <w:szCs w:val="21"/>
              </w:rPr>
              <w:t>属于四类过程性信息</w:t>
            </w:r>
            <w:bookmarkEnd w:id="5"/>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7.属于行政执法案卷</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8.</w:t>
            </w:r>
            <w:bookmarkStart w:id="6" w:name="_Hlk66975211"/>
            <w:r>
              <w:rPr>
                <w:rFonts w:hint="default" w:ascii="Times New Roman" w:hAnsi="Times New Roman" w:eastAsia="黑体" w:cs="Times New Roman"/>
                <w:b w:val="0"/>
                <w:bCs w:val="0"/>
                <w:color w:val="auto"/>
                <w:kern w:val="0"/>
                <w:szCs w:val="21"/>
              </w:rPr>
              <w:t>属于行政查询事项</w:t>
            </w:r>
            <w:bookmarkEnd w:id="6"/>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left"/>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（四）无法提供</w:t>
            </w: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1.本机关不掌握相关政府信息</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2.</w:t>
            </w:r>
            <w:bookmarkStart w:id="7" w:name="_Hlk66975392"/>
            <w:r>
              <w:rPr>
                <w:rFonts w:hint="default" w:ascii="Times New Roman" w:hAnsi="Times New Roman" w:eastAsia="黑体" w:cs="Times New Roman"/>
                <w:b w:val="0"/>
                <w:bCs w:val="0"/>
                <w:color w:val="auto"/>
                <w:kern w:val="0"/>
                <w:szCs w:val="21"/>
              </w:rPr>
              <w:t>没有现成信息需要另行制作</w:t>
            </w:r>
            <w:bookmarkEnd w:id="7"/>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3.</w:t>
            </w:r>
            <w:bookmarkStart w:id="8" w:name="_Hlk66975466"/>
            <w:r>
              <w:rPr>
                <w:rFonts w:hint="default" w:ascii="Times New Roman" w:hAnsi="Times New Roman" w:eastAsia="黑体" w:cs="Times New Roman"/>
                <w:b w:val="0"/>
                <w:bCs w:val="0"/>
                <w:color w:val="auto"/>
                <w:kern w:val="0"/>
                <w:szCs w:val="21"/>
              </w:rPr>
              <w:t>补正后申请内容仍不明确</w:t>
            </w:r>
            <w:bookmarkEnd w:id="8"/>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（五）不予处理</w:t>
            </w: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1.</w:t>
            </w:r>
            <w:bookmarkStart w:id="9" w:name="_Hlk66975537"/>
            <w:r>
              <w:rPr>
                <w:rFonts w:hint="default" w:ascii="Times New Roman" w:hAnsi="Times New Roman" w:eastAsia="黑体" w:cs="Times New Roman"/>
                <w:b w:val="0"/>
                <w:bCs w:val="0"/>
                <w:color w:val="auto"/>
                <w:kern w:val="0"/>
                <w:szCs w:val="21"/>
              </w:rPr>
              <w:t>信访举报投诉类申请</w:t>
            </w:r>
            <w:bookmarkEnd w:id="9"/>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1</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2.重复申请</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4"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3.要求提供公开出版物</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2" w:hRule="exact"/>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4.无正当理由大量反复申请</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5.要求行政机关确认或重新出具已获取信息</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（六）其他处理</w:t>
            </w:r>
          </w:p>
        </w:tc>
        <w:tc>
          <w:tcPr>
            <w:tcW w:w="329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1.申请人无正当理由逾期不补正、行政机关不再处理其政府信息公开申请</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2.申请人逾期未按收费通知要求缴纳费用、行政机关不再处理其政府信息公开申请</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1232"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9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3.其他</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85"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453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（七）总计</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3</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415"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四、结转下年度继续办理</w:t>
            </w:r>
          </w:p>
        </w:tc>
        <w:tc>
          <w:tcPr>
            <w:tcW w:w="54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kern w:val="2"/>
                <w:sz w:val="21"/>
                <w:szCs w:val="21"/>
                <w:lang w:val="en-US" w:eastAsia="zh-CN" w:bidi="ar-SA"/>
              </w:rPr>
            </w:pPr>
            <w:r>
              <w:rPr>
                <w:rFonts w:hint="default" w:ascii="Times New Roman" w:hAnsi="Times New Roman" w:eastAsia="仿宋_GB2312" w:cs="Times New Roman"/>
                <w:b w:val="0"/>
                <w:bCs w:val="0"/>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61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400" w:lineRule="exact"/>
              <w:jc w:val="both"/>
              <w:textAlignment w:val="auto"/>
              <w:rPr>
                <w:rFonts w:hint="default" w:ascii="Times New Roman" w:hAnsi="Times New Roman" w:eastAsia="仿宋_GB2312" w:cs="Times New Roman"/>
                <w:b w:val="0"/>
                <w:bCs w:val="0"/>
                <w:color w:val="auto"/>
                <w:szCs w:val="21"/>
                <w:lang w:val="en-US" w:eastAsia="zh-CN"/>
              </w:rPr>
            </w:pPr>
            <w:r>
              <w:rPr>
                <w:rFonts w:hint="default" w:ascii="Times New Roman" w:hAnsi="Times New Roman" w:eastAsia="仿宋_GB2312" w:cs="Times New Roman"/>
                <w:b w:val="0"/>
                <w:bCs w:val="0"/>
                <w:color w:val="auto"/>
                <w:szCs w:val="21"/>
                <w:lang w:val="en-US" w:eastAsia="zh-CN"/>
              </w:rPr>
              <w:t>0</w:t>
            </w:r>
          </w:p>
        </w:tc>
      </w:tr>
    </w:tbl>
    <w:p>
      <w:pPr>
        <w:pStyle w:val="2"/>
        <w:pageBreakBefore w:val="0"/>
        <w:numPr>
          <w:ilvl w:val="0"/>
          <w:numId w:val="0"/>
        </w:numPr>
        <w:kinsoku/>
        <w:wordWrap/>
        <w:overflowPunct/>
        <w:topLinePunct w:val="0"/>
        <w:autoSpaceDE/>
        <w:autoSpaceDN/>
        <w:bidi w:val="0"/>
        <w:adjustRightInd/>
        <w:snapToGrid/>
        <w:spacing w:before="0" w:after="0" w:line="240" w:lineRule="auto"/>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lang w:eastAsia="zh-CN"/>
        </w:rPr>
        <w:t>四、</w:t>
      </w:r>
      <w:r>
        <w:rPr>
          <w:rFonts w:hint="default" w:ascii="Times New Roman" w:hAnsi="Times New Roman" w:eastAsia="黑体" w:cs="Times New Roman"/>
          <w:b w:val="0"/>
          <w:bCs w:val="0"/>
          <w:color w:val="auto"/>
        </w:rPr>
        <w:t>政府信息公开工作被申请行政复议、提起行政诉讼</w:t>
      </w:r>
      <w:r>
        <w:rPr>
          <w:rFonts w:hint="default" w:ascii="Times New Roman" w:hAnsi="Times New Roman" w:eastAsia="黑体" w:cs="Times New Roman"/>
          <w:b w:val="0"/>
          <w:bCs w:val="0"/>
          <w:color w:val="auto"/>
          <w:lang w:eastAsia="zh-CN"/>
        </w:rPr>
        <w:t>情况</w:t>
      </w:r>
    </w:p>
    <w:tbl>
      <w:tblPr>
        <w:tblStyle w:val="3"/>
        <w:tblW w:w="5807"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41"/>
        <w:gridCol w:w="741"/>
        <w:gridCol w:w="741"/>
        <w:gridCol w:w="741"/>
        <w:gridCol w:w="741"/>
        <w:gridCol w:w="741"/>
        <w:gridCol w:w="741"/>
        <w:gridCol w:w="741"/>
        <w:gridCol w:w="741"/>
        <w:gridCol w:w="741"/>
        <w:gridCol w:w="741"/>
        <w:gridCol w:w="741"/>
        <w:gridCol w:w="741"/>
        <w:gridCol w:w="741"/>
        <w:gridCol w:w="74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1" w:hRule="atLeast"/>
          <w:jc w:val="center"/>
        </w:trPr>
        <w:tc>
          <w:tcPr>
            <w:tcW w:w="1677" w:type="pct"/>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firstLine="400" w:firstLineChars="200"/>
              <w:jc w:val="center"/>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kern w:val="0"/>
                <w:sz w:val="20"/>
                <w:szCs w:val="20"/>
              </w:rPr>
              <w:t>行政复议</w:t>
            </w:r>
          </w:p>
        </w:tc>
        <w:tc>
          <w:tcPr>
            <w:tcW w:w="3322" w:type="pct"/>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firstLine="400" w:firstLineChars="200"/>
              <w:jc w:val="center"/>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1" w:hRule="atLeast"/>
          <w:jc w:val="center"/>
        </w:trPr>
        <w:tc>
          <w:tcPr>
            <w:tcW w:w="327" w:type="pct"/>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结果</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维持</w:t>
            </w:r>
          </w:p>
        </w:tc>
        <w:tc>
          <w:tcPr>
            <w:tcW w:w="327" w:type="pct"/>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结果纠正</w:t>
            </w:r>
          </w:p>
        </w:tc>
        <w:tc>
          <w:tcPr>
            <w:tcW w:w="328" w:type="pct"/>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其他结果</w:t>
            </w:r>
          </w:p>
        </w:tc>
        <w:tc>
          <w:tcPr>
            <w:tcW w:w="328" w:type="pct"/>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尚未</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审结</w:t>
            </w:r>
          </w:p>
        </w:tc>
        <w:tc>
          <w:tcPr>
            <w:tcW w:w="365" w:type="pct"/>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总</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计</w:t>
            </w:r>
          </w:p>
        </w:tc>
        <w:tc>
          <w:tcPr>
            <w:tcW w:w="1678" w:type="pct"/>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未经复议直接起诉</w:t>
            </w:r>
          </w:p>
        </w:tc>
        <w:tc>
          <w:tcPr>
            <w:tcW w:w="1643" w:type="pct"/>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黑体" w:cs="Times New Roman"/>
                <w:b w:val="0"/>
                <w:bCs w:val="0"/>
                <w:color w:val="auto"/>
                <w:kern w:val="0"/>
                <w:szCs w:val="21"/>
              </w:rPr>
            </w:pPr>
            <w:bookmarkStart w:id="10" w:name="_Hlk67039688"/>
            <w:r>
              <w:rPr>
                <w:rFonts w:hint="default" w:ascii="Times New Roman" w:hAnsi="Times New Roman" w:eastAsia="黑体" w:cs="Times New Roman"/>
                <w:b w:val="0"/>
                <w:bCs w:val="0"/>
                <w:color w:val="auto"/>
                <w:kern w:val="0"/>
                <w:szCs w:val="21"/>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499" w:hRule="atLeast"/>
          <w:jc w:val="center"/>
        </w:trPr>
        <w:tc>
          <w:tcPr>
            <w:tcW w:w="327" w:type="pct"/>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7" w:type="pct"/>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8" w:type="pct"/>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8" w:type="pct"/>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65" w:type="pct"/>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结果维持</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结果纠正</w:t>
            </w:r>
          </w:p>
        </w:tc>
        <w:tc>
          <w:tcPr>
            <w:tcW w:w="328"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其他</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结果</w:t>
            </w:r>
          </w:p>
        </w:tc>
        <w:tc>
          <w:tcPr>
            <w:tcW w:w="328"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尚未</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审结</w:t>
            </w:r>
          </w:p>
        </w:tc>
        <w:tc>
          <w:tcPr>
            <w:tcW w:w="365"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总计</w:t>
            </w:r>
          </w:p>
        </w:tc>
        <w:tc>
          <w:tcPr>
            <w:tcW w:w="328"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结果维持</w:t>
            </w:r>
          </w:p>
        </w:tc>
        <w:tc>
          <w:tcPr>
            <w:tcW w:w="328"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结果</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纠正</w:t>
            </w:r>
          </w:p>
        </w:tc>
        <w:tc>
          <w:tcPr>
            <w:tcW w:w="328"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其他</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结果</w:t>
            </w:r>
          </w:p>
        </w:tc>
        <w:tc>
          <w:tcPr>
            <w:tcW w:w="328"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尚未审结</w:t>
            </w:r>
          </w:p>
        </w:tc>
        <w:tc>
          <w:tcPr>
            <w:tcW w:w="329"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黑体" w:cs="Times New Roman"/>
                <w:b w:val="0"/>
                <w:bCs w:val="0"/>
                <w:color w:val="auto"/>
                <w:kern w:val="0"/>
                <w:szCs w:val="21"/>
              </w:rPr>
            </w:pPr>
            <w:r>
              <w:rPr>
                <w:rFonts w:hint="default" w:ascii="Times New Roman" w:hAnsi="Times New Roman" w:eastAsia="黑体" w:cs="Times New Roman"/>
                <w:b w:val="0"/>
                <w:bCs w:val="0"/>
                <w:color w:val="auto"/>
                <w:kern w:val="0"/>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29" w:hRule="atLeast"/>
          <w:jc w:val="center"/>
        </w:trPr>
        <w:tc>
          <w:tcPr>
            <w:tcW w:w="327"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7"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65"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65"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8"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c>
          <w:tcPr>
            <w:tcW w:w="329" w:type="pc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ind w:firstLine="420" w:firstLineChars="200"/>
              <w:jc w:val="center"/>
              <w:textAlignment w:val="auto"/>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lang w:val="en-US" w:eastAsia="zh-CN"/>
              </w:rPr>
              <w:t>0</w:t>
            </w:r>
          </w:p>
        </w:tc>
      </w:tr>
    </w:tbl>
    <w:p>
      <w:pPr>
        <w:pStyle w:val="2"/>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eastAsia="zh-CN"/>
        </w:rPr>
        <w:t>五、</w:t>
      </w:r>
      <w:r>
        <w:rPr>
          <w:rFonts w:hint="default" w:ascii="Times New Roman" w:hAnsi="Times New Roman" w:eastAsia="黑体" w:cs="Times New Roman"/>
          <w:b w:val="0"/>
          <w:bCs w:val="0"/>
          <w:color w:val="auto"/>
        </w:rPr>
        <w:t>政府</w:t>
      </w:r>
      <w:r>
        <w:rPr>
          <w:rFonts w:hint="eastAsia" w:ascii="Times New Roman" w:hAnsi="Times New Roman" w:eastAsia="黑体" w:cs="Times New Roman"/>
          <w:b w:val="0"/>
          <w:bCs w:val="0"/>
          <w:color w:val="auto"/>
          <w:lang w:val="en-US" w:eastAsia="zh-CN"/>
        </w:rPr>
        <w:t>信</w:t>
      </w:r>
      <w:bookmarkStart w:id="11" w:name="_GoBack"/>
      <w:bookmarkEnd w:id="11"/>
      <w:r>
        <w:rPr>
          <w:rFonts w:hint="default" w:ascii="Times New Roman" w:hAnsi="Times New Roman" w:eastAsia="黑体" w:cs="Times New Roman"/>
          <w:b w:val="0"/>
          <w:bCs w:val="0"/>
          <w:color w:val="auto"/>
        </w:rPr>
        <w:t>息公开工作存在的主要问题及改进情况</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政府信息公开形式有待丰富，目前公开的平台限于政府网站、微信公众号且传播形式单一，下一步将着力创新政府信息发布形式，运用视频、图片等人民群众喜闻乐见的形式做好政府信息公开工作。</w:t>
      </w:r>
    </w:p>
    <w:p>
      <w:pPr>
        <w:pStyle w:val="2"/>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lang w:eastAsia="zh-CN"/>
        </w:rPr>
        <w:t>六、</w:t>
      </w:r>
      <w:r>
        <w:rPr>
          <w:rFonts w:hint="default" w:ascii="Times New Roman" w:hAnsi="Times New Roman" w:eastAsia="黑体" w:cs="Times New Roman"/>
          <w:b w:val="0"/>
          <w:bCs w:val="0"/>
          <w:color w:val="auto"/>
        </w:rPr>
        <w:t>其他需要报告的事项</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（一）收取信息处理费的情况</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本年度威海市文登区教育和体育局未收取信息处理费。</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（二）落实上级年度政务公开工作要点情况</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本年度威海市文登区教育和体育局扎实做好上级规定的各项政务信息公开工作，严格按照规定时限、内容做好政府网站内容维护工作。</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（三）人大代表建议和政协提案办理结果</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年内办理人大代表建议和政协提案共计9件，其中人大代表建议3件，政协提案6件，均已按期办结，答复满意率100%。</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（四）年度政务公开工作创新情况</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指导20所学校做好政府信息公开工作，将政务公开工作纳入中小学目标绩效管理考核。单位新媒体及时公开相关政策，扎实做好日常运维工作，影响力位居全市同类新媒体前列。</w:t>
      </w:r>
    </w:p>
    <w:p>
      <w:pPr>
        <w:pageBreakBefore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b w:val="0"/>
          <w:bCs w:val="0"/>
          <w:color w:val="auto"/>
          <w:sz w:val="32"/>
          <w:szCs w:val="32"/>
          <w:lang w:val="en-US" w:eastAsia="zh-CN"/>
        </w:rPr>
      </w:pPr>
    </w:p>
    <w:p>
      <w:pPr>
        <w:pageBreakBefore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威海市文登区教育和体育局</w:t>
      </w:r>
    </w:p>
    <w:p>
      <w:pPr>
        <w:pageBreakBefore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cs="Times New Roman" w:eastAsiaTheme="minorEastAsia"/>
          <w:b w:val="0"/>
          <w:bCs w:val="0"/>
          <w:color w:val="auto"/>
          <w:lang w:eastAsia="zh-CN"/>
        </w:rPr>
      </w:pPr>
      <w:r>
        <w:rPr>
          <w:rFonts w:hint="default" w:ascii="Times New Roman" w:hAnsi="Times New Roman" w:eastAsia="仿宋_GB2312" w:cs="Times New Roman"/>
          <w:b w:val="0"/>
          <w:bCs w:val="0"/>
          <w:color w:val="auto"/>
          <w:sz w:val="32"/>
          <w:szCs w:val="32"/>
          <w:lang w:val="en-US" w:eastAsia="zh-CN"/>
        </w:rPr>
        <w:t xml:space="preserve">2022年1月27日  </w:t>
      </w:r>
    </w:p>
    <w:sectPr>
      <w:pgSz w:w="11906" w:h="16838"/>
      <w:pgMar w:top="2098" w:right="1800"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xMTQ2MjFmNThjMjIwOTFhOTIzMDg0NGMxMWYxNjIifQ=="/>
  </w:docVars>
  <w:rsids>
    <w:rsidRoot w:val="6E5226A0"/>
    <w:rsid w:val="02BA0F4D"/>
    <w:rsid w:val="0BD97EB2"/>
    <w:rsid w:val="101B0B9A"/>
    <w:rsid w:val="14327DB4"/>
    <w:rsid w:val="17D722D9"/>
    <w:rsid w:val="33276546"/>
    <w:rsid w:val="39C26124"/>
    <w:rsid w:val="441F670F"/>
    <w:rsid w:val="462A1956"/>
    <w:rsid w:val="61F65A66"/>
    <w:rsid w:val="62B24C02"/>
    <w:rsid w:val="6E5226A0"/>
    <w:rsid w:val="6EBC4974"/>
    <w:rsid w:val="738669CB"/>
    <w:rsid w:val="7A173A72"/>
    <w:rsid w:val="7ACC0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2494</Words>
  <Characters>2601</Characters>
  <Lines>0</Lines>
  <Paragraphs>0</Paragraphs>
  <TotalTime>53</TotalTime>
  <ScaleCrop>false</ScaleCrop>
  <LinksUpToDate>false</LinksUpToDate>
  <CharactersWithSpaces>2606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2022-01-24T02:13:00Z</dcterms:created>
  <dc:creator>Small grass to fish lai</dc:creator>
  <cp:lastModifiedBy>Small grass to fish lai</cp:lastModifiedBy>
  <dcterms:modified xsi:type="dcterms:W3CDTF">2022-12-08T08:45:11Z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B332AC1335584235BE9825BCF55AEBE4</vt:lpwstr>
  </property>
</Properties>
</file>