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544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24"/>
          <w:sz w:val="32"/>
          <w:szCs w:val="32"/>
        </w:rPr>
        <w:t>WDDR-2017-0030011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806" w:firstLine="619" w:firstLineChars="200"/>
        <w:textAlignment w:val="baseline"/>
        <w:rPr>
          <w:rFonts w:hint="default" w:ascii="Times New Roman" w:hAnsi="Times New Roman" w:eastAsia="仿宋_GB2312" w:cs="Times New Roman"/>
          <w:b/>
          <w:bCs/>
          <w:color w:val="auto"/>
          <w:spacing w:val="-6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-17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-17"/>
          <w:sz w:val="44"/>
          <w:szCs w:val="44"/>
        </w:rPr>
        <w:t>关于对热计量用户实行两部制供热价格的通知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2"/>
          <w:sz w:val="32"/>
          <w:szCs w:val="32"/>
        </w:rPr>
        <w:t>文价工发〔2017〕11号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86" w:firstLine="575" w:firstLineChars="200"/>
        <w:textAlignment w:val="baseline"/>
        <w:rPr>
          <w:rFonts w:hint="default" w:ascii="Times New Roman" w:hAnsi="Times New Roman" w:eastAsia="仿宋_GB2312" w:cs="Times New Roman"/>
          <w:b/>
          <w:bCs/>
          <w:color w:val="auto"/>
          <w:spacing w:val="-17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13"/>
          <w:sz w:val="32"/>
          <w:szCs w:val="32"/>
        </w:rPr>
        <w:t>各供热企业：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79" w:right="13" w:firstLine="604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  <w:t>根据《山东省供热条例》和《山东省物价局关于进一步加强供</w:t>
      </w:r>
      <w:r>
        <w:rPr>
          <w:rFonts w:hint="default" w:ascii="Times New Roman" w:hAnsi="Times New Roman" w:eastAsia="仿宋_GB2312" w:cs="Times New Roman"/>
          <w:color w:val="auto"/>
          <w:spacing w:val="-2"/>
          <w:sz w:val="32"/>
          <w:szCs w:val="32"/>
        </w:rPr>
        <w:t>热价格管理的通知》(鲁价格一发〔2014〕120号)的有关规定，</w:t>
      </w:r>
      <w:r>
        <w:rPr>
          <w:rFonts w:hint="default" w:ascii="Times New Roman" w:hAnsi="Times New Roman" w:eastAsia="仿宋_GB2312" w:cs="Times New Roman"/>
          <w:color w:val="auto"/>
          <w:spacing w:val="-3"/>
          <w:sz w:val="32"/>
          <w:szCs w:val="32"/>
        </w:rPr>
        <w:t>结</w:t>
      </w:r>
      <w:r>
        <w:rPr>
          <w:rFonts w:hint="default" w:ascii="Times New Roman" w:hAnsi="Times New Roman" w:eastAsia="仿宋_GB2312" w:cs="Times New Roman"/>
          <w:color w:val="auto"/>
          <w:spacing w:val="-6"/>
          <w:sz w:val="32"/>
          <w:szCs w:val="32"/>
        </w:rPr>
        <w:t>合我区实际，现对热计量用户实行两部制供热价格，</w:t>
      </w:r>
      <w:r>
        <w:rPr>
          <w:rFonts w:hint="default" w:ascii="Times New Roman" w:hAnsi="Times New Roman" w:eastAsia="仿宋_GB2312" w:cs="Times New Roman"/>
          <w:color w:val="auto"/>
          <w:spacing w:val="-7"/>
          <w:sz w:val="32"/>
          <w:szCs w:val="32"/>
        </w:rPr>
        <w:t>现提出如下意</w:t>
      </w:r>
      <w:r>
        <w:rPr>
          <w:rFonts w:hint="default" w:ascii="Times New Roman" w:hAnsi="Times New Roman" w:eastAsia="仿宋_GB2312" w:cs="Times New Roman"/>
          <w:color w:val="auto"/>
          <w:spacing w:val="-23"/>
          <w:sz w:val="32"/>
          <w:szCs w:val="32"/>
        </w:rPr>
        <w:t>见：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79" w:right="13" w:firstLine="604" w:firstLineChars="200"/>
        <w:textAlignment w:val="baseline"/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  <w:t>一、用户具备分户用热计量条件并按用热量收费的，实行基本热价和计量热价相结合的两部制热价。计算公式为：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79" w:right="13" w:firstLine="604" w:firstLineChars="200"/>
        <w:textAlignment w:val="baseline"/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  <w:t>供热费=基本供热费+计量供热费=基本热价×收费面积+计量热价×用热量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79" w:right="13" w:firstLine="604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  <w:t>其中，基本热价按面积计费价格的30%核算，居民用户为每平方米6.9元，计量热价为每吉焦36.4元(每千瓦时0.1310元)。非居民用户基本热价为每平方米9元，计量热价为每吉焦47.6元(每千瓦时0.1714元)。居民用户收费面积为套内主房建筑面积，非居民用户收费面积为建筑面积(不计算层高系数)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79" w:right="13" w:firstLine="604" w:firstLineChars="200"/>
        <w:jc w:val="both"/>
        <w:textAlignment w:val="baseline"/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  <w:t>二、实行两部制热价的热用户在供暖期开始前，按面积计费额一次性预交供热费。供暖期结束后，居民热用户按热计费额低于按面积计费额的部分退还给用户，高于按面积计费额的不再补交；非居民热用户按两部制热价据实结算，实行多退少补，但补交额最多不超过用户预交供热费的10%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79" w:right="13" w:firstLine="604" w:firstLineChars="200"/>
        <w:textAlignment w:val="baseline"/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  <w:t>三、供热设施具备分户关闭条件，用户要求暂停或者恢复供热的，供热企业不得收取任何费用。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79" w:right="13" w:firstLine="604" w:firstLineChars="200"/>
        <w:textAlignment w:val="baseline"/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  <w:t>四、本通知自2017—2018年供热期起执行，有效期三年</w:t>
      </w:r>
      <w:r>
        <w:rPr>
          <w:rFonts w:hint="eastAsia" w:ascii="Times New Roman" w:hAnsi="Times New Roman" w:eastAsia="仿宋_GB2312" w:cs="Times New Roman"/>
          <w:color w:val="auto"/>
          <w:spacing w:val="-9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pacing w:val="-9"/>
          <w:sz w:val="32"/>
          <w:szCs w:val="32"/>
        </w:rPr>
        <w:t>威海市文登区物价局文价工发〔2013〕18号同时停止执行。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right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-11"/>
          <w:sz w:val="32"/>
          <w:szCs w:val="32"/>
        </w:rPr>
        <w:t>威海市文登区</w:t>
      </w:r>
      <w:r>
        <w:rPr>
          <w:rFonts w:hint="eastAsia" w:ascii="Times New Roman" w:hAnsi="Times New Roman" w:eastAsia="仿宋_GB2312" w:cs="Times New Roman"/>
          <w:color w:val="auto"/>
          <w:spacing w:val="-11"/>
          <w:sz w:val="32"/>
          <w:szCs w:val="32"/>
          <w:lang w:eastAsia="zh-CN"/>
        </w:rPr>
        <w:t>物价局</w:t>
      </w:r>
      <w:r>
        <w:rPr>
          <w:rFonts w:hint="default" w:ascii="Times New Roman" w:hAnsi="Times New Roman" w:eastAsia="仿宋_GB2312" w:cs="Times New Roman"/>
          <w:color w:val="auto"/>
          <w:spacing w:val="-11"/>
          <w:sz w:val="32"/>
          <w:szCs w:val="32"/>
        </w:rPr>
        <w:t>威海市文登区住房和城乡建设局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4619" w:firstLine="776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34"/>
          <w:sz w:val="32"/>
          <w:szCs w:val="32"/>
        </w:rPr>
        <w:t>2017年9月19日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sectPr>
      <w:pgSz w:w="11900" w:h="16920"/>
      <w:pgMar w:top="1438" w:right="1650" w:bottom="0" w:left="137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mRmNjI4YjliODY0NTRjOGQyODM0ODcwNzFlNmNkOWUifQ=="/>
  </w:docVars>
  <w:rsids>
    <w:rsidRoot w:val="00000000"/>
    <w:rsid w:val="77F257B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578</Words>
  <Characters>641</Characters>
  <TotalTime>2</TotalTime>
  <ScaleCrop>false</ScaleCrop>
  <LinksUpToDate>false</LinksUpToDate>
  <CharactersWithSpaces>641</CharactersWithSpaces>
  <Application>WPS Office_11.1.0.12763_F1E327BC-269C-435d-A152-05C5408002CA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2022-11-08T14:25:00Z</dcterms:created>
  <dc:creator>Kingsoft-PDF</dc:creator>
  <cp:keywords>6369f64d175ce200159f4d2a</cp:keywords>
  <cp:lastModifiedBy>种草的兔叽</cp:lastModifiedBy>
  <dcterms:modified xsi:type="dcterms:W3CDTF">2022-11-08T09:13:31Z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2022-11-08T14:25:27Z</vt:filetime>
  </property>
  <property fmtid="{D5CDD505-2E9C-101B-9397-08002B2CF9AE}" pid="4" name="KSOProductBuildVer">
    <vt:lpwstr>2052-11.1.0.12763</vt:lpwstr>
  </property>
  <property fmtid="{D5CDD505-2E9C-101B-9397-08002B2CF9AE}" pid="5" name="ICV">
    <vt:lpwstr>CAE110FD939847EB98E7809BEC8EBD01</vt:lpwstr>
  </property>
</Properties>
</file>