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bidi w:val="0"/>
        <w:rPr>
          <w:rFonts w:hint="default" w:ascii="Times New Roman" w:hAnsi="Times New Roman" w:cs="Times New Roman"/>
          <w:lang w:eastAsia="zh-CN"/>
        </w:rPr>
      </w:pPr>
    </w:p>
    <w:p>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威海市文登区综合行政执法局</w:t>
      </w:r>
    </w:p>
    <w:p>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2023年</w:t>
      </w:r>
      <w:r>
        <w:rPr>
          <w:rFonts w:hint="default" w:ascii="Times New Roman" w:hAnsi="Times New Roman" w:cs="Times New Roman"/>
        </w:rPr>
        <w:t>政府信息公开工作年度报告</w:t>
      </w:r>
    </w:p>
    <w:p>
      <w:pPr>
        <w:pStyle w:val="6"/>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rPr>
      </w:pPr>
    </w:p>
    <w:p>
      <w:pPr>
        <w:pStyle w:val="6"/>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威海市文登区综合行政执法局</w:t>
      </w:r>
      <w:r>
        <w:rPr>
          <w:rFonts w:hint="default" w:ascii="Times New Roman" w:hAnsi="Times New Roman" w:eastAsia="仿宋_GB2312" w:cs="Times New Roman"/>
          <w:color w:val="auto"/>
          <w:sz w:val="32"/>
          <w:szCs w:val="32"/>
        </w:rPr>
        <w:t>政府信息公开工作实际，编制发布本报告。</w:t>
      </w:r>
    </w:p>
    <w:p>
      <w:pPr>
        <w:pStyle w:val="6"/>
        <w:keepNext w:val="0"/>
        <w:keepLines w:val="0"/>
        <w:pageBreakBefore w:val="0"/>
        <w:widowControl w:val="0"/>
        <w:suppressLineNumbers w:val="0"/>
        <w:kinsoku/>
        <w:wordWrap w:val="0"/>
        <w:overflowPunct/>
        <w:topLinePunct w:val="0"/>
        <w:autoSpaceDE/>
        <w:autoSpaceDN/>
        <w:bidi w:val="0"/>
        <w:adjustRightInd/>
        <w:snapToGrid/>
        <w:spacing w:before="0" w:beforeAutospacing="0" w:after="0" w:afterAutospacing="0" w:line="560" w:lineRule="exact"/>
        <w:ind w:left="0" w:firstLine="646"/>
        <w:jc w:val="both"/>
        <w:textAlignment w:val="auto"/>
        <w:rPr>
          <w:rFonts w:hint="default" w:ascii="Times New Roman" w:hAnsi="Times New Roman" w:cs="Times New Roman"/>
          <w:color w:val="auto"/>
          <w:sz w:val="32"/>
          <w:szCs w:val="32"/>
          <w:u w:val="none"/>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eastAsia" w:cs="Times New Roman"/>
          <w:color w:val="auto"/>
          <w:sz w:val="32"/>
          <w:szCs w:val="32"/>
          <w:lang w:val="en-US" w:eastAsia="zh-CN"/>
        </w:rPr>
        <w:t>威海市</w:t>
      </w:r>
      <w:r>
        <w:rPr>
          <w:rFonts w:hint="default" w:ascii="Times New Roman" w:hAnsi="Times New Roman" w:eastAsia="仿宋_GB2312" w:cs="Times New Roman"/>
          <w:color w:val="auto"/>
          <w:sz w:val="32"/>
          <w:szCs w:val="32"/>
          <w:lang w:val="en-US" w:eastAsia="zh-CN"/>
        </w:rPr>
        <w:t>文登区人民政府</w:t>
      </w:r>
      <w:r>
        <w:rPr>
          <w:rFonts w:hint="default" w:ascii="Times New Roman" w:hAnsi="Times New Roman" w:eastAsia="仿宋_GB2312" w:cs="Times New Roman"/>
          <w:color w:val="auto"/>
          <w:sz w:val="32"/>
          <w:szCs w:val="32"/>
        </w:rPr>
        <w:t>网站（</w:t>
      </w:r>
      <w:r>
        <w:rPr>
          <w:rFonts w:hint="default" w:ascii="Times New Roman" w:hAnsi="Times New Roman" w:eastAsia="仿宋_GB2312" w:cs="Times New Roman"/>
          <w:color w:val="auto"/>
          <w:sz w:val="32"/>
          <w:szCs w:val="32"/>
          <w:u w:val="none"/>
          <w:lang w:val="en-US" w:eastAsia="zh-CN"/>
        </w:rPr>
        <w:t>网址：http://www.wendeng.gov.cn</w:t>
      </w:r>
      <w:r>
        <w:rPr>
          <w:rFonts w:hint="default" w:ascii="Times New Roman" w:hAnsi="Times New Roman" w:eastAsia="仿宋_GB2312" w:cs="Times New Roman"/>
          <w:color w:val="auto"/>
          <w:sz w:val="32"/>
          <w:szCs w:val="32"/>
          <w:u w:val="none"/>
        </w:rPr>
        <w:t>）</w:t>
      </w:r>
      <w:r>
        <w:rPr>
          <w:rFonts w:hint="eastAsia" w:cs="Times New Roman"/>
          <w:color w:val="auto"/>
          <w:sz w:val="32"/>
          <w:szCs w:val="32"/>
          <w:u w:val="none"/>
          <w:lang w:val="en-US" w:eastAsia="zh-CN"/>
        </w:rPr>
        <w:t>政府信息公开专栏</w:t>
      </w:r>
      <w:r>
        <w:rPr>
          <w:rFonts w:hint="default" w:ascii="Times New Roman" w:hAnsi="Times New Roman" w:eastAsia="仿宋_GB2312" w:cs="Times New Roman"/>
          <w:color w:val="auto"/>
          <w:sz w:val="32"/>
          <w:szCs w:val="32"/>
          <w:u w:val="none"/>
        </w:rPr>
        <w:t>查阅或下载。公众如需进一步咨询了解相关信息，请与</w:t>
      </w:r>
      <w:r>
        <w:rPr>
          <w:rFonts w:hint="default" w:ascii="Times New Roman" w:hAnsi="Times New Roman" w:eastAsia="仿宋_GB2312" w:cs="Times New Roman"/>
          <w:color w:val="auto"/>
          <w:sz w:val="32"/>
          <w:szCs w:val="32"/>
          <w:u w:val="none"/>
          <w:lang w:val="en-US" w:eastAsia="zh-CN"/>
        </w:rPr>
        <w:t>综合行政执法局</w:t>
      </w:r>
      <w:r>
        <w:rPr>
          <w:rFonts w:hint="default" w:ascii="Times New Roman" w:hAnsi="Times New Roman" w:eastAsia="仿宋_GB2312" w:cs="Times New Roman"/>
          <w:color w:val="auto"/>
          <w:sz w:val="32"/>
          <w:szCs w:val="32"/>
          <w:u w:val="none"/>
        </w:rPr>
        <w:t>联系（地址：</w:t>
      </w:r>
      <w:r>
        <w:rPr>
          <w:rFonts w:hint="default" w:ascii="Times New Roman" w:hAnsi="Times New Roman" w:eastAsia="仿宋_GB2312" w:cs="Times New Roman"/>
          <w:color w:val="auto"/>
          <w:sz w:val="32"/>
          <w:szCs w:val="32"/>
          <w:u w:val="none"/>
          <w:lang w:val="en-US" w:eastAsia="zh-CN"/>
        </w:rPr>
        <w:t>威海市文登区文山路105号</w:t>
      </w:r>
      <w:r>
        <w:rPr>
          <w:rFonts w:hint="default" w:ascii="Times New Roman" w:hAnsi="Times New Roman" w:eastAsia="仿宋_GB2312" w:cs="Times New Roman"/>
          <w:color w:val="auto"/>
          <w:sz w:val="32"/>
          <w:szCs w:val="32"/>
          <w:u w:val="none"/>
        </w:rPr>
        <w:t>，电话：</w:t>
      </w:r>
      <w:r>
        <w:rPr>
          <w:rFonts w:hint="default" w:ascii="Times New Roman" w:hAnsi="Times New Roman" w:eastAsia="仿宋_GB2312" w:cs="Times New Roman"/>
          <w:color w:val="auto"/>
          <w:sz w:val="32"/>
          <w:szCs w:val="32"/>
          <w:u w:val="none"/>
          <w:lang w:val="en-US" w:eastAsia="zh-CN"/>
        </w:rPr>
        <w:t>0631-8451120</w:t>
      </w:r>
      <w:r>
        <w:rPr>
          <w:rFonts w:hint="default" w:ascii="Times New Roman" w:hAnsi="Times New Roman" w:eastAsia="仿宋_GB2312" w:cs="Times New Roman"/>
          <w:color w:val="auto"/>
          <w:sz w:val="32"/>
          <w:szCs w:val="32"/>
          <w:u w:val="none"/>
        </w:rPr>
        <w:t>）。</w:t>
      </w:r>
    </w:p>
    <w:p>
      <w:pPr>
        <w:pStyle w:val="4"/>
        <w:bidi w:val="0"/>
        <w:rPr>
          <w:rFonts w:hint="default" w:ascii="Times New Roman" w:hAnsi="Times New Roman" w:cs="Times New Roman"/>
        </w:rPr>
      </w:pPr>
      <w:r>
        <w:rPr>
          <w:rFonts w:hint="default" w:ascii="Times New Roman" w:hAnsi="Times New Roman" w:cs="Times New Roman"/>
        </w:rPr>
        <w:t>一、总体情况</w:t>
      </w:r>
    </w:p>
    <w:p>
      <w:pPr>
        <w:bidi w:val="0"/>
        <w:rPr>
          <w:rFonts w:hint="default" w:ascii="Times New Roman" w:hAnsi="Times New Roman" w:cs="Times New Roman"/>
          <w:lang w:val="en-US" w:eastAsia="zh-CN"/>
        </w:rPr>
      </w:pPr>
      <w:r>
        <w:rPr>
          <w:rFonts w:hint="default" w:ascii="Times New Roman" w:hAnsi="Times New Roman" w:cs="Times New Roman"/>
          <w:lang w:val="en-US" w:eastAsia="zh-CN"/>
        </w:rPr>
        <w:t>2023年，文登区综合行政执法局以习近平新时代中国特色社会主义思想为指导，深入学习宣传贯彻党的二十大精神，严格落实省、市、区人民政府关于信息公开的有关要求，不断加大政务公开力度，着力推进政务公开规范化，切实保障公民知情权、参与权、表达权、监督权。</w:t>
      </w:r>
    </w:p>
    <w:p>
      <w:pPr>
        <w:bidi w:val="0"/>
        <w:rPr>
          <w:rFonts w:hint="default" w:ascii="Times New Roman" w:hAnsi="Times New Roman" w:cs="Times New Roman"/>
          <w:lang w:val="en-US" w:eastAsia="zh-CN"/>
        </w:rPr>
      </w:pPr>
      <w:r>
        <w:rPr>
          <w:rFonts w:hint="eastAsia" w:ascii="Times New Roman" w:hAnsi="Times New Roman" w:eastAsia="楷体_GB2312" w:cs="Times New Roman"/>
          <w:b w:val="0"/>
          <w:bCs/>
          <w:color w:val="auto"/>
          <w:szCs w:val="32"/>
          <w:lang w:val="en-US" w:eastAsia="zh-CN"/>
        </w:rPr>
        <w:t>（一）</w:t>
      </w:r>
      <w:r>
        <w:rPr>
          <w:rFonts w:hint="default" w:ascii="Times New Roman" w:hAnsi="Times New Roman" w:eastAsia="楷体_GB2312" w:cs="Times New Roman"/>
          <w:b w:val="0"/>
          <w:bCs/>
          <w:color w:val="auto"/>
          <w:szCs w:val="32"/>
          <w:lang w:val="en-US" w:eastAsia="zh-CN"/>
        </w:rPr>
        <w:t>主动公开方面。</w:t>
      </w:r>
      <w:r>
        <w:rPr>
          <w:rFonts w:hint="default" w:ascii="Times New Roman" w:hAnsi="Times New Roman" w:cs="Times New Roman"/>
          <w:lang w:val="en-US" w:eastAsia="zh-CN"/>
        </w:rPr>
        <w:t>2023年度，区综合行政执法局严格落实信息公开审核制度，在区政府网站主动公开各类政务信息共计122条，其中：工作动态类信息64条；政策文件及解读类信息4条；财政预决算信息8条；公共资源配置信息13条；建议提案办理信息8条；其他政府信息25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lang w:val="en-US" w:eastAsia="zh-CN"/>
        </w:rPr>
      </w:pPr>
      <w:r>
        <w:rPr>
          <w:rFonts w:hint="default" w:ascii="Times New Roman" w:hAnsi="Times New Roman" w:eastAsia="楷体_GB2312" w:cs="Times New Roman"/>
          <w:b w:val="0"/>
          <w:bCs/>
          <w:color w:val="auto"/>
          <w:szCs w:val="32"/>
          <w:lang w:val="en-US" w:eastAsia="zh-CN"/>
        </w:rPr>
        <w:t>（</w:t>
      </w:r>
      <w:r>
        <w:rPr>
          <w:rFonts w:hint="eastAsia" w:ascii="Times New Roman" w:hAnsi="Times New Roman" w:eastAsia="楷体_GB2312" w:cs="Times New Roman"/>
          <w:b w:val="0"/>
          <w:bCs/>
          <w:color w:val="auto"/>
          <w:szCs w:val="32"/>
          <w:lang w:val="en-US" w:eastAsia="zh-CN"/>
        </w:rPr>
        <w:t>二</w:t>
      </w:r>
      <w:r>
        <w:rPr>
          <w:rFonts w:hint="default" w:ascii="Times New Roman" w:hAnsi="Times New Roman" w:eastAsia="楷体_GB2312" w:cs="Times New Roman"/>
          <w:b w:val="0"/>
          <w:bCs/>
          <w:color w:val="auto"/>
          <w:szCs w:val="32"/>
          <w:lang w:val="en-US" w:eastAsia="zh-CN"/>
        </w:rPr>
        <w:t>）依申请</w:t>
      </w:r>
      <w:r>
        <w:rPr>
          <w:rFonts w:hint="default" w:ascii="Times New Roman" w:hAnsi="Times New Roman" w:eastAsia="楷体_GB2312" w:cs="Times New Roman"/>
          <w:b w:val="0"/>
          <w:bCs/>
          <w:color w:val="auto"/>
          <w:sz w:val="32"/>
          <w:szCs w:val="32"/>
          <w:lang w:val="en-US" w:eastAsia="zh-CN"/>
        </w:rPr>
        <w:t>公开工作方面。</w:t>
      </w:r>
      <w:r>
        <w:rPr>
          <w:rFonts w:hint="default" w:ascii="Times New Roman" w:hAnsi="Times New Roman" w:cs="Times New Roman"/>
          <w:lang w:val="en-US" w:eastAsia="zh-CN"/>
        </w:rPr>
        <w:t>区综合行政执法局积极受理和回复向我单位提出的政府信息公开申请，畅通申请渠道。本年度共收到政府信息公开申请6项</w:t>
      </w:r>
      <w:r>
        <w:rPr>
          <w:rFonts w:hint="eastAsia" w:cs="Times New Roman"/>
          <w:lang w:val="en-US" w:eastAsia="zh-CN"/>
        </w:rPr>
        <w:t>，</w:t>
      </w:r>
      <w:r>
        <w:rPr>
          <w:rFonts w:hint="default" w:ascii="Times New Roman" w:hAnsi="Times New Roman" w:cs="Times New Roman"/>
          <w:lang w:val="en-US" w:eastAsia="zh-CN"/>
        </w:rPr>
        <w:t>与去年相比，同比增加6件。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lang w:val="en-US" w:eastAsia="zh-CN"/>
        </w:rPr>
      </w:pPr>
      <w:r>
        <w:rPr>
          <w:rFonts w:hint="default" w:ascii="Times New Roman" w:hAnsi="Times New Roman" w:eastAsia="楷体_GB2312" w:cs="Times New Roman"/>
          <w:b w:val="0"/>
          <w:bCs/>
          <w:color w:val="auto"/>
          <w:szCs w:val="32"/>
          <w:lang w:val="en-US" w:eastAsia="zh-CN"/>
        </w:rPr>
        <w:t>（</w:t>
      </w:r>
      <w:r>
        <w:rPr>
          <w:rFonts w:hint="eastAsia" w:ascii="Times New Roman" w:hAnsi="Times New Roman" w:eastAsia="楷体_GB2312" w:cs="Times New Roman"/>
          <w:b w:val="0"/>
          <w:bCs/>
          <w:color w:val="auto"/>
          <w:szCs w:val="32"/>
          <w:lang w:val="en-US" w:eastAsia="zh-CN"/>
        </w:rPr>
        <w:t>三</w:t>
      </w:r>
      <w:r>
        <w:rPr>
          <w:rFonts w:hint="default" w:ascii="Times New Roman" w:hAnsi="Times New Roman" w:eastAsia="楷体_GB2312" w:cs="Times New Roman"/>
          <w:b w:val="0"/>
          <w:bCs/>
          <w:color w:val="auto"/>
          <w:szCs w:val="32"/>
          <w:lang w:val="en-US" w:eastAsia="zh-CN"/>
        </w:rPr>
        <w:t>）政府信</w:t>
      </w:r>
      <w:r>
        <w:rPr>
          <w:rFonts w:hint="default" w:ascii="Times New Roman" w:hAnsi="Times New Roman" w:eastAsia="楷体_GB2312" w:cs="Times New Roman"/>
          <w:b w:val="0"/>
          <w:bCs/>
          <w:color w:val="auto"/>
          <w:sz w:val="32"/>
          <w:szCs w:val="32"/>
          <w:lang w:val="en-US" w:eastAsia="zh-CN"/>
        </w:rPr>
        <w:t>息管理方面。</w:t>
      </w:r>
      <w:r>
        <w:rPr>
          <w:rFonts w:hint="default" w:ascii="Times New Roman" w:hAnsi="Times New Roman" w:cs="Times New Roman"/>
          <w:lang w:val="en-US" w:eastAsia="zh-CN"/>
        </w:rPr>
        <w:t>不断完善工作机制，明确责任分工，及时编制本级政府信息主动公开目录并在文登区政府网站进行公开；严格遵循</w:t>
      </w:r>
      <w:r>
        <w:rPr>
          <w:rFonts w:hint="eastAsia" w:cs="Times New Roman"/>
          <w:lang w:val="en-US" w:eastAsia="zh-CN"/>
        </w:rPr>
        <w:t>“</w:t>
      </w:r>
      <w:r>
        <w:rPr>
          <w:rFonts w:hint="default" w:ascii="Times New Roman" w:hAnsi="Times New Roman" w:cs="Times New Roman"/>
          <w:lang w:val="en-US" w:eastAsia="zh-CN"/>
        </w:rPr>
        <w:t>先审查、后公开，谁审查、谁负责，谁公开、谁负责，既确保国家秘密安全，又方便政府信息公开</w:t>
      </w:r>
      <w:r>
        <w:rPr>
          <w:rFonts w:hint="eastAsia" w:cs="Times New Roman"/>
          <w:lang w:val="en-US" w:eastAsia="zh-CN"/>
        </w:rPr>
        <w:t>”</w:t>
      </w:r>
      <w:r>
        <w:rPr>
          <w:rFonts w:hint="default" w:ascii="Times New Roman" w:hAnsi="Times New Roman" w:cs="Times New Roman"/>
          <w:lang w:val="en-US" w:eastAsia="zh-CN"/>
        </w:rPr>
        <w:t>的原则，对拟公开的部门规范性文件进行保密审查，在保障公民、法人和其他组织的知情权和监督权同时促进信息公开工作平稳有序开展。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lang w:val="en-US" w:eastAsia="zh-CN"/>
        </w:rPr>
      </w:pPr>
      <w:r>
        <w:rPr>
          <w:rFonts w:hint="default" w:ascii="Times New Roman" w:hAnsi="Times New Roman" w:eastAsia="楷体_GB2312" w:cs="Times New Roman"/>
          <w:b w:val="0"/>
          <w:bCs/>
          <w:color w:val="auto"/>
          <w:szCs w:val="32"/>
          <w:lang w:val="en-US" w:eastAsia="zh-CN"/>
        </w:rPr>
        <w:t>（</w:t>
      </w:r>
      <w:r>
        <w:rPr>
          <w:rFonts w:hint="eastAsia" w:ascii="Times New Roman" w:hAnsi="Times New Roman" w:eastAsia="楷体_GB2312" w:cs="Times New Roman"/>
          <w:b w:val="0"/>
          <w:bCs/>
          <w:color w:val="auto"/>
          <w:szCs w:val="32"/>
          <w:lang w:val="en-US" w:eastAsia="zh-CN"/>
        </w:rPr>
        <w:t>四</w:t>
      </w:r>
      <w:r>
        <w:rPr>
          <w:rFonts w:hint="default" w:ascii="Times New Roman" w:hAnsi="Times New Roman" w:eastAsia="楷体_GB2312" w:cs="Times New Roman"/>
          <w:b w:val="0"/>
          <w:bCs/>
          <w:color w:val="auto"/>
          <w:szCs w:val="32"/>
          <w:lang w:val="en-US" w:eastAsia="zh-CN"/>
        </w:rPr>
        <w:t>）平台建设</w:t>
      </w:r>
      <w:r>
        <w:rPr>
          <w:rFonts w:hint="default" w:ascii="Times New Roman" w:hAnsi="Times New Roman" w:eastAsia="楷体_GB2312" w:cs="Times New Roman"/>
          <w:b w:val="0"/>
          <w:bCs/>
          <w:color w:val="auto"/>
          <w:sz w:val="32"/>
          <w:szCs w:val="32"/>
          <w:lang w:val="en-US" w:eastAsia="zh-CN"/>
        </w:rPr>
        <w:t>方面。</w:t>
      </w:r>
      <w:r>
        <w:rPr>
          <w:rFonts w:hint="default" w:ascii="Times New Roman" w:hAnsi="Times New Roman" w:cs="Times New Roman"/>
          <w:lang w:val="en-US" w:eastAsia="zh-CN"/>
        </w:rPr>
        <w:t>依托文登区人民政府网站，健全完善信息发布与政务公开平台，定期更新政务信息，不断强化宣传力度；借助</w:t>
      </w:r>
      <w:r>
        <w:rPr>
          <w:rFonts w:hint="eastAsia" w:cs="Times New Roman"/>
          <w:lang w:val="en-US" w:eastAsia="zh-CN"/>
        </w:rPr>
        <w:t>“</w:t>
      </w:r>
      <w:r>
        <w:rPr>
          <w:rFonts w:hint="default" w:ascii="Times New Roman" w:hAnsi="Times New Roman" w:cs="Times New Roman"/>
          <w:lang w:val="en-US" w:eastAsia="zh-CN"/>
        </w:rPr>
        <w:t>文登区综合行政执法局</w:t>
      </w:r>
      <w:r>
        <w:rPr>
          <w:rFonts w:hint="eastAsia" w:cs="Times New Roman"/>
          <w:lang w:val="en-US" w:eastAsia="zh-CN"/>
        </w:rPr>
        <w:t>”</w:t>
      </w:r>
      <w:r>
        <w:rPr>
          <w:rFonts w:hint="default" w:ascii="Times New Roman" w:hAnsi="Times New Roman" w:cs="Times New Roman"/>
          <w:lang w:val="en-US" w:eastAsia="zh-CN"/>
        </w:rPr>
        <w:t>微信公众号政务新媒体平台，实时更新工作动态，营造立体宣传氛围；组织</w:t>
      </w:r>
      <w:r>
        <w:rPr>
          <w:rFonts w:hint="eastAsia" w:cs="Times New Roman"/>
          <w:lang w:val="en-US" w:eastAsia="zh-CN"/>
        </w:rPr>
        <w:t>“</w:t>
      </w:r>
      <w:r>
        <w:rPr>
          <w:rFonts w:hint="default" w:ascii="Times New Roman" w:hAnsi="Times New Roman" w:cs="Times New Roman"/>
          <w:lang w:val="en-US" w:eastAsia="zh-CN"/>
        </w:rPr>
        <w:t>阳光政务 与民同行</w:t>
      </w:r>
      <w:r>
        <w:rPr>
          <w:rFonts w:hint="eastAsia" w:cs="Times New Roman"/>
          <w:lang w:val="en-US" w:eastAsia="zh-CN"/>
        </w:rPr>
        <w:t>”</w:t>
      </w:r>
      <w:r>
        <w:rPr>
          <w:rFonts w:hint="default" w:ascii="Times New Roman" w:hAnsi="Times New Roman" w:cs="Times New Roman"/>
          <w:lang w:val="en-US" w:eastAsia="zh-CN"/>
        </w:rPr>
        <w:t>政府开放日活动，邀请社会各界人士线下参观城建重点工程项目建设情况，线上线下步调一致、协同联动、相辅相成，进一步深化政务公开工作。</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Cs w:val="32"/>
        </w:rPr>
      </w:pPr>
      <w:r>
        <w:rPr>
          <w:rFonts w:hint="default" w:ascii="Times New Roman" w:hAnsi="Times New Roman" w:eastAsia="楷体_GB2312" w:cs="Times New Roman"/>
          <w:b w:val="0"/>
          <w:bCs/>
          <w:color w:val="auto"/>
          <w:szCs w:val="32"/>
          <w:lang w:val="en-US" w:eastAsia="zh-CN"/>
        </w:rPr>
        <w:t>（</w:t>
      </w:r>
      <w:r>
        <w:rPr>
          <w:rFonts w:hint="eastAsia" w:ascii="Times New Roman" w:hAnsi="Times New Roman" w:eastAsia="楷体_GB2312" w:cs="Times New Roman"/>
          <w:b w:val="0"/>
          <w:bCs/>
          <w:color w:val="auto"/>
          <w:szCs w:val="32"/>
          <w:lang w:val="en-US" w:eastAsia="zh-CN"/>
        </w:rPr>
        <w:t>五</w:t>
      </w:r>
      <w:r>
        <w:rPr>
          <w:rFonts w:hint="default" w:ascii="Times New Roman" w:hAnsi="Times New Roman" w:eastAsia="楷体_GB2312" w:cs="Times New Roman"/>
          <w:b w:val="0"/>
          <w:bCs/>
          <w:color w:val="auto"/>
          <w:szCs w:val="32"/>
          <w:lang w:val="en-US" w:eastAsia="zh-CN"/>
        </w:rPr>
        <w:t>）监督保障方面</w:t>
      </w:r>
      <w:r>
        <w:rPr>
          <w:rFonts w:hint="default" w:ascii="Times New Roman" w:hAnsi="Times New Roman" w:eastAsia="楷体_GB2312" w:cs="Times New Roman"/>
          <w:b w:val="0"/>
          <w:bCs/>
          <w:color w:val="auto"/>
          <w:sz w:val="32"/>
          <w:szCs w:val="32"/>
          <w:lang w:val="en-US" w:eastAsia="zh-CN"/>
        </w:rPr>
        <w:t>。</w:t>
      </w:r>
      <w:r>
        <w:rPr>
          <w:rFonts w:hint="default" w:ascii="Times New Roman" w:hAnsi="Times New Roman" w:cs="Times New Roman"/>
          <w:lang w:val="en-US" w:eastAsia="zh-CN"/>
        </w:rPr>
        <w:t>综合行政执法局在工作机制建设上不断投入人力、物力，确保人员及职责的稳定性。加强对政务公开工作的宣传培训力度，组织各科室、城市管理综合服务中心、环境卫生服务中心工作人员召开政府度信息公开培训会议1次，强化干部职工公开意识，规范公开内容，提高公开质量。2023年未收到</w:t>
      </w:r>
      <w:r>
        <w:rPr>
          <w:rFonts w:hint="eastAsia" w:cs="Times New Roman"/>
          <w:lang w:val="en-US" w:eastAsia="zh-CN"/>
        </w:rPr>
        <w:t>与</w:t>
      </w:r>
      <w:r>
        <w:rPr>
          <w:rFonts w:hint="default" w:ascii="Times New Roman" w:hAnsi="Times New Roman" w:cs="Times New Roman"/>
          <w:lang w:val="en-US" w:eastAsia="zh-CN"/>
        </w:rPr>
        <w:t>政务信息公开工作有关的投诉、举报，也无其他责任追究的情形。</w:t>
      </w:r>
    </w:p>
    <w:p>
      <w:pPr>
        <w:pStyle w:val="4"/>
        <w:bidi w:val="0"/>
        <w:rPr>
          <w:rFonts w:hint="default" w:ascii="Times New Roman" w:hAnsi="Times New Roman" w:cs="Times New Roman"/>
        </w:rPr>
      </w:pPr>
      <w:r>
        <w:rPr>
          <w:rFonts w:hint="default" w:ascii="Times New Roman" w:hAnsi="Times New Roman" w:cs="Times New Roman"/>
        </w:rPr>
        <w:t>二、主动公开政府信息情况</w:t>
      </w:r>
    </w:p>
    <w:tbl>
      <w:tblPr>
        <w:tblStyle w:val="7"/>
        <w:tblW w:w="9110" w:type="dxa"/>
        <w:jc w:val="center"/>
        <w:tblLayout w:type="fixed"/>
        <w:tblCellMar>
          <w:top w:w="0" w:type="dxa"/>
          <w:left w:w="108" w:type="dxa"/>
          <w:bottom w:w="0" w:type="dxa"/>
          <w:right w:w="108" w:type="dxa"/>
        </w:tblCellMar>
      </w:tblPr>
      <w:tblGrid>
        <w:gridCol w:w="2492"/>
        <w:gridCol w:w="2206"/>
        <w:gridCol w:w="2206"/>
        <w:gridCol w:w="2206"/>
      </w:tblGrid>
      <w:tr>
        <w:tblPrEx>
          <w:tblCellMar>
            <w:top w:w="0" w:type="dxa"/>
            <w:left w:w="108" w:type="dxa"/>
            <w:bottom w:w="0" w:type="dxa"/>
            <w:right w:w="108" w:type="dxa"/>
          </w:tblCellMar>
        </w:tblPrEx>
        <w:trPr>
          <w:trHeight w:val="567" w:hRule="atLeast"/>
          <w:jc w:val="center"/>
        </w:trPr>
        <w:tc>
          <w:tcPr>
            <w:tcW w:w="9110"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黑体" w:cs="Times New Roman"/>
                <w:color w:val="000000"/>
                <w:kern w:val="0"/>
                <w:szCs w:val="21"/>
              </w:rPr>
            </w:pPr>
            <w:bookmarkStart w:id="0" w:name="OLE_LINK2"/>
            <w:r>
              <w:rPr>
                <w:rFonts w:hint="default" w:ascii="Times New Roman" w:hAnsi="Times New Roman" w:eastAsia="黑体" w:cs="Times New Roman"/>
                <w:color w:val="000000"/>
                <w:kern w:val="0"/>
                <w:szCs w:val="21"/>
              </w:rPr>
              <w:t>第二十条第（一）项</w:t>
            </w:r>
          </w:p>
        </w:tc>
      </w:tr>
      <w:tr>
        <w:tblPrEx>
          <w:tblCellMar>
            <w:top w:w="0" w:type="dxa"/>
            <w:left w:w="108" w:type="dxa"/>
            <w:bottom w:w="0" w:type="dxa"/>
            <w:right w:w="108" w:type="dxa"/>
          </w:tblCellMar>
        </w:tblPrEx>
        <w:trPr>
          <w:trHeight w:val="567" w:hRule="atLeast"/>
          <w:jc w:val="center"/>
        </w:trPr>
        <w:tc>
          <w:tcPr>
            <w:tcW w:w="2492"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现行有效件数</w:t>
            </w:r>
          </w:p>
        </w:tc>
      </w:tr>
      <w:tr>
        <w:tblPrEx>
          <w:tblCellMar>
            <w:top w:w="0" w:type="dxa"/>
            <w:left w:w="108" w:type="dxa"/>
            <w:bottom w:w="0" w:type="dxa"/>
            <w:right w:w="108" w:type="dxa"/>
          </w:tblCellMar>
        </w:tblPrEx>
        <w:trPr>
          <w:trHeight w:val="567" w:hRule="atLeast"/>
          <w:jc w:val="center"/>
        </w:trPr>
        <w:tc>
          <w:tcPr>
            <w:tcW w:w="2492"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auto"/>
                <w:kern w:val="0"/>
                <w:szCs w:val="21"/>
                <w:lang w:val="en-US" w:eastAsia="zh-CN"/>
              </w:rPr>
            </w:pPr>
            <w:r>
              <w:rPr>
                <w:rFonts w:hint="default" w:ascii="Times New Roman" w:hAnsi="Times New Roman"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auto"/>
                <w:kern w:val="0"/>
                <w:szCs w:val="21"/>
                <w:lang w:val="en-US" w:eastAsia="zh-CN"/>
              </w:rPr>
            </w:pPr>
            <w:r>
              <w:rPr>
                <w:rFonts w:hint="default" w:ascii="Times New Roman" w:hAnsi="Times New Roman"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auto"/>
                <w:kern w:val="0"/>
                <w:szCs w:val="21"/>
                <w:lang w:val="en-US" w:eastAsia="zh-CN"/>
              </w:rPr>
            </w:pPr>
            <w:r>
              <w:rPr>
                <w:rFonts w:hint="default" w:ascii="Times New Roman" w:hAnsi="Times New Roman" w:cs="Times New Roman"/>
                <w:color w:val="auto"/>
                <w:kern w:val="0"/>
                <w:szCs w:val="21"/>
                <w:lang w:val="en-US" w:eastAsia="zh-CN"/>
              </w:rPr>
              <w:t>0</w:t>
            </w:r>
          </w:p>
        </w:tc>
      </w:tr>
      <w:tr>
        <w:tblPrEx>
          <w:tblCellMar>
            <w:top w:w="0" w:type="dxa"/>
            <w:left w:w="108" w:type="dxa"/>
            <w:bottom w:w="0" w:type="dxa"/>
            <w:right w:w="108" w:type="dxa"/>
          </w:tblCellMar>
        </w:tblPrEx>
        <w:trPr>
          <w:trHeight w:val="567" w:hRule="atLeast"/>
          <w:jc w:val="center"/>
        </w:trPr>
        <w:tc>
          <w:tcPr>
            <w:tcW w:w="2492"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cs="Times New Roman"/>
                <w:color w:val="auto"/>
                <w:kern w:val="0"/>
                <w:szCs w:val="21"/>
                <w:highlight w:val="none"/>
                <w:lang w:val="en-US" w:eastAsia="zh-CN"/>
              </w:rPr>
              <w:t>1</w:t>
            </w:r>
          </w:p>
        </w:tc>
        <w:tc>
          <w:tcPr>
            <w:tcW w:w="2206"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cs="Times New Roman"/>
                <w:color w:val="auto"/>
                <w:kern w:val="0"/>
                <w:szCs w:val="21"/>
                <w:highlight w:val="none"/>
                <w:lang w:val="en-US" w:eastAsia="zh-CN"/>
              </w:rPr>
              <w:t>1</w:t>
            </w:r>
          </w:p>
        </w:tc>
        <w:tc>
          <w:tcPr>
            <w:tcW w:w="2206"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cs="Times New Roman"/>
                <w:color w:val="auto"/>
                <w:kern w:val="0"/>
                <w:szCs w:val="21"/>
                <w:highlight w:val="none"/>
                <w:lang w:val="en-US" w:eastAsia="zh-CN"/>
              </w:rPr>
              <w:t>1</w:t>
            </w:r>
          </w:p>
        </w:tc>
      </w:tr>
      <w:tr>
        <w:tblPrEx>
          <w:tblCellMar>
            <w:top w:w="0" w:type="dxa"/>
            <w:left w:w="108" w:type="dxa"/>
            <w:bottom w:w="0" w:type="dxa"/>
            <w:right w:w="108" w:type="dxa"/>
          </w:tblCellMar>
        </w:tblPrEx>
        <w:trPr>
          <w:trHeight w:val="567" w:hRule="atLeast"/>
          <w:jc w:val="center"/>
        </w:trPr>
        <w:tc>
          <w:tcPr>
            <w:tcW w:w="9110"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第二十条第（五）项</w:t>
            </w:r>
          </w:p>
        </w:tc>
      </w:tr>
      <w:tr>
        <w:tblPrEx>
          <w:tblCellMar>
            <w:top w:w="0" w:type="dxa"/>
            <w:left w:w="108" w:type="dxa"/>
            <w:bottom w:w="0" w:type="dxa"/>
            <w:right w:w="108" w:type="dxa"/>
          </w:tblCellMar>
        </w:tblPrEx>
        <w:trPr>
          <w:trHeight w:val="567" w:hRule="atLeast"/>
          <w:jc w:val="center"/>
        </w:trPr>
        <w:tc>
          <w:tcPr>
            <w:tcW w:w="2492"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本年处理决定数量</w:t>
            </w:r>
          </w:p>
        </w:tc>
      </w:tr>
      <w:tr>
        <w:tblPrEx>
          <w:tblCellMar>
            <w:top w:w="0" w:type="dxa"/>
            <w:left w:w="108" w:type="dxa"/>
            <w:bottom w:w="0" w:type="dxa"/>
            <w:right w:w="108" w:type="dxa"/>
          </w:tblCellMar>
        </w:tblPrEx>
        <w:trPr>
          <w:trHeight w:val="567" w:hRule="atLeast"/>
          <w:jc w:val="center"/>
        </w:trPr>
        <w:tc>
          <w:tcPr>
            <w:tcW w:w="2492"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cs="Times New Roman"/>
                <w:color w:val="auto"/>
                <w:kern w:val="0"/>
                <w:szCs w:val="21"/>
                <w:highlight w:val="none"/>
                <w:lang w:val="en-US" w:eastAsia="zh-CN"/>
              </w:rPr>
              <w:t>0</w:t>
            </w:r>
          </w:p>
        </w:tc>
      </w:tr>
      <w:tr>
        <w:tblPrEx>
          <w:tblCellMar>
            <w:top w:w="0" w:type="dxa"/>
            <w:left w:w="108" w:type="dxa"/>
            <w:bottom w:w="0" w:type="dxa"/>
            <w:right w:w="108" w:type="dxa"/>
          </w:tblCellMar>
        </w:tblPrEx>
        <w:trPr>
          <w:trHeight w:val="567" w:hRule="atLeast"/>
          <w:jc w:val="center"/>
        </w:trPr>
        <w:tc>
          <w:tcPr>
            <w:tcW w:w="9110"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第二十条第（六）项</w:t>
            </w:r>
          </w:p>
        </w:tc>
      </w:tr>
      <w:tr>
        <w:tblPrEx>
          <w:tblCellMar>
            <w:top w:w="0" w:type="dxa"/>
            <w:left w:w="108" w:type="dxa"/>
            <w:bottom w:w="0" w:type="dxa"/>
            <w:right w:w="108" w:type="dxa"/>
          </w:tblCellMar>
        </w:tblPrEx>
        <w:trPr>
          <w:trHeight w:val="567" w:hRule="atLeast"/>
          <w:jc w:val="center"/>
        </w:trPr>
        <w:tc>
          <w:tcPr>
            <w:tcW w:w="2492"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本年处理决定数量</w:t>
            </w:r>
          </w:p>
        </w:tc>
      </w:tr>
      <w:tr>
        <w:tblPrEx>
          <w:tblCellMar>
            <w:top w:w="0" w:type="dxa"/>
            <w:left w:w="108" w:type="dxa"/>
            <w:bottom w:w="0" w:type="dxa"/>
            <w:right w:w="108" w:type="dxa"/>
          </w:tblCellMar>
        </w:tblPrEx>
        <w:trPr>
          <w:trHeight w:val="567" w:hRule="atLeast"/>
          <w:jc w:val="center"/>
        </w:trPr>
        <w:tc>
          <w:tcPr>
            <w:tcW w:w="2492"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cs="Times New Roman"/>
                <w:color w:val="auto"/>
                <w:kern w:val="0"/>
                <w:szCs w:val="21"/>
                <w:highlight w:val="none"/>
                <w:lang w:val="en-US" w:eastAsia="zh-CN"/>
              </w:rPr>
              <w:t>48</w:t>
            </w:r>
          </w:p>
        </w:tc>
      </w:tr>
      <w:tr>
        <w:tblPrEx>
          <w:tblCellMar>
            <w:top w:w="0" w:type="dxa"/>
            <w:left w:w="108" w:type="dxa"/>
            <w:bottom w:w="0" w:type="dxa"/>
            <w:right w:w="108" w:type="dxa"/>
          </w:tblCellMar>
        </w:tblPrEx>
        <w:trPr>
          <w:trHeight w:val="567" w:hRule="atLeast"/>
          <w:jc w:val="center"/>
        </w:trPr>
        <w:tc>
          <w:tcPr>
            <w:tcW w:w="2492"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cs="Times New Roman"/>
                <w:color w:val="auto"/>
                <w:kern w:val="0"/>
                <w:szCs w:val="21"/>
                <w:highlight w:val="none"/>
                <w:lang w:val="en-US" w:eastAsia="zh-CN"/>
              </w:rPr>
              <w:t>5</w:t>
            </w:r>
          </w:p>
        </w:tc>
      </w:tr>
      <w:tr>
        <w:tblPrEx>
          <w:tblCellMar>
            <w:top w:w="0" w:type="dxa"/>
            <w:left w:w="108" w:type="dxa"/>
            <w:bottom w:w="0" w:type="dxa"/>
            <w:right w:w="108" w:type="dxa"/>
          </w:tblCellMar>
        </w:tblPrEx>
        <w:trPr>
          <w:trHeight w:val="567" w:hRule="atLeast"/>
          <w:jc w:val="center"/>
        </w:trPr>
        <w:tc>
          <w:tcPr>
            <w:tcW w:w="9110"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第二十条第（八）项</w:t>
            </w:r>
          </w:p>
        </w:tc>
      </w:tr>
      <w:tr>
        <w:tblPrEx>
          <w:tblCellMar>
            <w:top w:w="0" w:type="dxa"/>
            <w:left w:w="108" w:type="dxa"/>
            <w:bottom w:w="0" w:type="dxa"/>
            <w:right w:w="108" w:type="dxa"/>
          </w:tblCellMar>
        </w:tblPrEx>
        <w:trPr>
          <w:trHeight w:val="567" w:hRule="atLeast"/>
          <w:jc w:val="center"/>
        </w:trPr>
        <w:tc>
          <w:tcPr>
            <w:tcW w:w="2492"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本年收费金额（单位：万元）</w:t>
            </w:r>
          </w:p>
        </w:tc>
      </w:tr>
      <w:tr>
        <w:tblPrEx>
          <w:tblCellMar>
            <w:top w:w="0" w:type="dxa"/>
            <w:left w:w="108" w:type="dxa"/>
            <w:bottom w:w="0" w:type="dxa"/>
            <w:right w:w="108" w:type="dxa"/>
          </w:tblCellMar>
        </w:tblPrEx>
        <w:trPr>
          <w:trHeight w:val="567" w:hRule="atLeast"/>
          <w:jc w:val="center"/>
        </w:trPr>
        <w:tc>
          <w:tcPr>
            <w:tcW w:w="2492"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cs="Times New Roman"/>
                <w:color w:val="auto"/>
                <w:kern w:val="0"/>
                <w:szCs w:val="21"/>
                <w:highlight w:val="none"/>
                <w:lang w:val="en-US" w:eastAsia="zh-CN"/>
              </w:rPr>
              <w:t>0</w:t>
            </w:r>
          </w:p>
        </w:tc>
      </w:tr>
      <w:bookmarkEnd w:id="0"/>
    </w:tbl>
    <w:p>
      <w:pPr>
        <w:keepNext/>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color w:val="FF0000"/>
          <w:sz w:val="32"/>
          <w:szCs w:val="32"/>
          <w:lang w:val="en-US" w:eastAsia="zh-CN"/>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三、收</w:t>
      </w: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到和处理政府信息公开申请情况</w:t>
      </w:r>
    </w:p>
    <w:tbl>
      <w:tblPr>
        <w:tblStyle w:val="7"/>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4"/>
        <w:gridCol w:w="4"/>
        <w:gridCol w:w="3"/>
        <w:gridCol w:w="3"/>
        <w:gridCol w:w="3"/>
        <w:gridCol w:w="518"/>
        <w:gridCol w:w="720"/>
        <w:gridCol w:w="675"/>
        <w:gridCol w:w="525"/>
        <w:gridCol w:w="1"/>
        <w:gridCol w:w="70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楷体_GB2312"/>
                <w:kern w:val="0"/>
                <w:sz w:val="21"/>
                <w:szCs w:val="21"/>
              </w:rPr>
            </w:pPr>
            <w:bookmarkStart w:id="1" w:name="OLE_LINK1"/>
            <w:r>
              <w:rPr>
                <w:rFonts w:hint="eastAsia" w:ascii="Times New Roman" w:hAnsi="Times New Roman" w:eastAsia="楷体_GB2312"/>
                <w:kern w:val="0"/>
                <w:sz w:val="21"/>
                <w:szCs w:val="21"/>
              </w:rPr>
              <w:t>（本列数据的勾稽关系为：第一项加第二项之和，</w:t>
            </w:r>
          </w:p>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仿宋_GB2312"/>
                <w:sz w:val="21"/>
                <w:szCs w:val="21"/>
              </w:rPr>
            </w:pPr>
            <w:r>
              <w:rPr>
                <w:rFonts w:hint="eastAsia" w:ascii="Times New Roman" w:hAnsi="Times New Roman" w:eastAsia="楷体_GB2312"/>
                <w:kern w:val="0"/>
                <w:sz w:val="21"/>
                <w:szCs w:val="21"/>
              </w:rPr>
              <w:t>等于第三项加第四项之和）</w:t>
            </w:r>
          </w:p>
        </w:tc>
        <w:tc>
          <w:tcPr>
            <w:tcW w:w="4448" w:type="dxa"/>
            <w:gridSpan w:val="20"/>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r>
              <w:rPr>
                <w:rFonts w:hint="eastAsia" w:ascii="Times New Roman" w:hAnsi="Times New Roman" w:eastAsia="黑体"/>
                <w:kern w:val="0"/>
                <w:sz w:val="21"/>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仿宋_GB2312"/>
                <w:sz w:val="21"/>
                <w:szCs w:val="21"/>
              </w:rPr>
            </w:pPr>
          </w:p>
        </w:tc>
        <w:tc>
          <w:tcPr>
            <w:tcW w:w="747"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hint="eastAsia" w:ascii="Times New Roman" w:hAnsi="Times New Roman" w:eastAsia="黑体"/>
                <w:kern w:val="0"/>
                <w:sz w:val="21"/>
                <w:szCs w:val="21"/>
              </w:rPr>
            </w:pPr>
            <w:r>
              <w:rPr>
                <w:rFonts w:hint="eastAsia" w:ascii="Times New Roman" w:hAnsi="Times New Roman" w:eastAsia="黑体"/>
                <w:kern w:val="0"/>
                <w:sz w:val="21"/>
                <w:szCs w:val="21"/>
              </w:rPr>
              <w:t>自</w:t>
            </w:r>
          </w:p>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hint="eastAsia" w:ascii="Times New Roman" w:hAnsi="Times New Roman" w:eastAsia="黑体"/>
                <w:kern w:val="0"/>
                <w:sz w:val="21"/>
                <w:szCs w:val="21"/>
              </w:rPr>
            </w:pPr>
            <w:r>
              <w:rPr>
                <w:rFonts w:hint="eastAsia" w:ascii="Times New Roman" w:hAnsi="Times New Roman" w:eastAsia="黑体"/>
                <w:kern w:val="0"/>
                <w:sz w:val="21"/>
                <w:szCs w:val="21"/>
              </w:rPr>
              <w:t>然</w:t>
            </w:r>
          </w:p>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r>
              <w:rPr>
                <w:rFonts w:hint="eastAsia" w:ascii="Times New Roman" w:hAnsi="Times New Roman" w:eastAsia="黑体"/>
                <w:kern w:val="0"/>
                <w:sz w:val="21"/>
                <w:szCs w:val="21"/>
              </w:rPr>
              <w:t>人</w:t>
            </w:r>
          </w:p>
        </w:tc>
        <w:tc>
          <w:tcPr>
            <w:tcW w:w="3000" w:type="dxa"/>
            <w:gridSpan w:val="1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r>
              <w:rPr>
                <w:rFonts w:hint="eastAsia" w:ascii="Times New Roman" w:hAnsi="Times New Roman" w:eastAsia="黑体"/>
                <w:kern w:val="0"/>
                <w:sz w:val="21"/>
                <w:szCs w:val="21"/>
              </w:rPr>
              <w:t>法人或其他组织</w:t>
            </w:r>
          </w:p>
        </w:tc>
        <w:tc>
          <w:tcPr>
            <w:tcW w:w="701" w:type="dxa"/>
            <w:gridSpan w:val="2"/>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r>
              <w:rPr>
                <w:rFonts w:hint="eastAsia" w:ascii="Times New Roman" w:hAnsi="Times New Roman" w:eastAsia="黑体"/>
                <w:kern w:val="0"/>
                <w:sz w:val="21"/>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53" w:hRule="atLeast"/>
          <w:jc w:val="center"/>
        </w:trPr>
        <w:tc>
          <w:tcPr>
            <w:tcW w:w="5093" w:type="dxa"/>
            <w:gridSpan w:val="3"/>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仿宋_GB2312"/>
                <w:sz w:val="21"/>
                <w:szCs w:val="21"/>
              </w:rPr>
            </w:pPr>
          </w:p>
        </w:tc>
        <w:tc>
          <w:tcPr>
            <w:tcW w:w="747"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eastAsia" w:ascii="Times New Roman" w:hAnsi="Times New Roman" w:eastAsia="黑体"/>
                <w:kern w:val="0"/>
                <w:sz w:val="21"/>
                <w:szCs w:val="21"/>
              </w:rPr>
            </w:pPr>
            <w:r>
              <w:rPr>
                <w:rFonts w:hint="eastAsia" w:ascii="Times New Roman" w:hAnsi="Times New Roman" w:eastAsia="黑体"/>
                <w:kern w:val="0"/>
                <w:sz w:val="21"/>
                <w:szCs w:val="21"/>
              </w:rPr>
              <w:t>商业</w:t>
            </w:r>
          </w:p>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黑体"/>
                <w:sz w:val="21"/>
                <w:szCs w:val="21"/>
              </w:rPr>
            </w:pPr>
            <w:r>
              <w:rPr>
                <w:rFonts w:hint="eastAsia" w:ascii="Times New Roman" w:hAnsi="Times New Roman" w:eastAsia="黑体"/>
                <w:kern w:val="0"/>
                <w:sz w:val="21"/>
                <w:szCs w:val="21"/>
              </w:rPr>
              <w:t>企业</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eastAsia" w:ascii="Times New Roman" w:hAnsi="Times New Roman" w:eastAsia="黑体"/>
                <w:kern w:val="0"/>
                <w:sz w:val="21"/>
                <w:szCs w:val="21"/>
              </w:rPr>
            </w:pPr>
            <w:r>
              <w:rPr>
                <w:rFonts w:hint="eastAsia" w:ascii="Times New Roman" w:hAnsi="Times New Roman" w:eastAsia="黑体"/>
                <w:kern w:val="0"/>
                <w:sz w:val="21"/>
                <w:szCs w:val="21"/>
              </w:rPr>
              <w:t>科研</w:t>
            </w:r>
          </w:p>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黑体"/>
                <w:sz w:val="21"/>
                <w:szCs w:val="21"/>
              </w:rPr>
            </w:pPr>
            <w:r>
              <w:rPr>
                <w:rFonts w:hint="eastAsia" w:ascii="Times New Roman" w:hAnsi="Times New Roman" w:eastAsia="黑体"/>
                <w:kern w:val="0"/>
                <w:sz w:val="21"/>
                <w:szCs w:val="21"/>
              </w:rPr>
              <w:t>机构</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黑体"/>
                <w:sz w:val="21"/>
                <w:szCs w:val="21"/>
              </w:rPr>
            </w:pPr>
            <w:r>
              <w:rPr>
                <w:rFonts w:hint="eastAsia" w:ascii="Times New Roman" w:hAnsi="Times New Roman" w:eastAsia="黑体"/>
                <w:kern w:val="0"/>
                <w:sz w:val="21"/>
                <w:szCs w:val="21"/>
              </w:rPr>
              <w:t>社会公益组织</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黑体"/>
                <w:sz w:val="21"/>
                <w:szCs w:val="21"/>
              </w:rPr>
            </w:pPr>
            <w:r>
              <w:rPr>
                <w:rFonts w:hint="eastAsia" w:ascii="Times New Roman" w:hAnsi="Times New Roman" w:eastAsia="黑体"/>
                <w:kern w:val="0"/>
                <w:sz w:val="21"/>
                <w:szCs w:val="21"/>
              </w:rPr>
              <w:t>法律服务机构</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ascii="Times New Roman" w:hAnsi="Times New Roman" w:eastAsia="黑体"/>
                <w:sz w:val="21"/>
                <w:szCs w:val="21"/>
              </w:rPr>
            </w:pPr>
            <w:r>
              <w:rPr>
                <w:rFonts w:hint="eastAsia" w:ascii="Times New Roman" w:hAnsi="Times New Roman" w:eastAsia="黑体"/>
                <w:kern w:val="0"/>
                <w:sz w:val="21"/>
                <w:szCs w:val="21"/>
              </w:rPr>
              <w:t>其他</w:t>
            </w:r>
          </w:p>
        </w:tc>
        <w:tc>
          <w:tcPr>
            <w:tcW w:w="701" w:type="dxa"/>
            <w:gridSpan w:val="2"/>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仿宋_GB2312"/>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r>
              <w:rPr>
                <w:rFonts w:hint="eastAsia" w:ascii="Times New Roman" w:hAnsi="Times New Roman" w:eastAsia="黑体"/>
                <w:kern w:val="0"/>
                <w:sz w:val="21"/>
                <w:szCs w:val="21"/>
              </w:rPr>
              <w:t>一、</w:t>
            </w:r>
            <w:bookmarkStart w:id="2" w:name="_Hlk66973412"/>
            <w:r>
              <w:rPr>
                <w:rFonts w:hint="eastAsia" w:ascii="Times New Roman" w:hAnsi="Times New Roman" w:eastAsia="黑体"/>
                <w:kern w:val="0"/>
                <w:sz w:val="21"/>
                <w:szCs w:val="21"/>
              </w:rPr>
              <w:t>本年新收政府信息公开申请数量</w:t>
            </w:r>
            <w:bookmarkEnd w:id="2"/>
          </w:p>
        </w:tc>
        <w:tc>
          <w:tcPr>
            <w:tcW w:w="74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6</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r>
              <w:rPr>
                <w:rFonts w:hint="eastAsia" w:ascii="Times New Roman" w:hAnsi="Times New Roman" w:eastAsia="黑体"/>
                <w:kern w:val="0"/>
                <w:sz w:val="21"/>
                <w:szCs w:val="21"/>
              </w:rPr>
              <w:t>二、上年结转政府信息公开申请数量</w:t>
            </w:r>
          </w:p>
        </w:tc>
        <w:tc>
          <w:tcPr>
            <w:tcW w:w="74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r>
              <w:rPr>
                <w:rFonts w:hint="eastAsia" w:ascii="Times New Roman" w:hAnsi="Times New Roman" w:eastAsia="黑体"/>
                <w:kern w:val="0"/>
                <w:sz w:val="21"/>
                <w:szCs w:val="21"/>
              </w:rPr>
              <w:t>三、本年度办理结果</w:t>
            </w:r>
          </w:p>
        </w:tc>
        <w:tc>
          <w:tcPr>
            <w:tcW w:w="4677"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r>
              <w:rPr>
                <w:rFonts w:hint="eastAsia" w:ascii="Times New Roman" w:hAnsi="Times New Roman" w:eastAsia="黑体"/>
                <w:kern w:val="0"/>
                <w:sz w:val="21"/>
                <w:szCs w:val="21"/>
              </w:rPr>
              <w:t>（一）予以公开</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3</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4677"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r>
              <w:rPr>
                <w:rFonts w:hint="eastAsia" w:ascii="Times New Roman" w:hAnsi="Times New Roman" w:eastAsia="黑体"/>
                <w:kern w:val="0"/>
                <w:sz w:val="21"/>
                <w:szCs w:val="21"/>
              </w:rPr>
              <w:t>（二）部分公开（</w:t>
            </w:r>
            <w:bookmarkStart w:id="3" w:name="_Hlk66973981"/>
            <w:r>
              <w:rPr>
                <w:rFonts w:hint="eastAsia" w:ascii="Times New Roman" w:hAnsi="Times New Roman" w:eastAsia="黑体"/>
                <w:kern w:val="0"/>
                <w:sz w:val="21"/>
                <w:szCs w:val="21"/>
              </w:rPr>
              <w:t>区分处理的，只计这一情形，不计其他情形</w:t>
            </w:r>
            <w:bookmarkEnd w:id="3"/>
            <w:r>
              <w:rPr>
                <w:rFonts w:hint="eastAsia" w:ascii="Times New Roman" w:hAnsi="Times New Roman" w:eastAsia="黑体"/>
                <w:kern w:val="0"/>
                <w:sz w:val="21"/>
                <w:szCs w:val="21"/>
              </w:rPr>
              <w:t>）</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1701"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r>
              <w:rPr>
                <w:rFonts w:hint="eastAsia" w:ascii="Times New Roman" w:hAnsi="Times New Roman" w:eastAsia="黑体"/>
                <w:kern w:val="0"/>
                <w:sz w:val="21"/>
                <w:szCs w:val="21"/>
              </w:rPr>
              <w:t>（三）不予公开</w:t>
            </w: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kern w:val="0"/>
                <w:sz w:val="21"/>
                <w:szCs w:val="21"/>
              </w:rPr>
            </w:pPr>
            <w:r>
              <w:rPr>
                <w:rFonts w:hint="eastAsia" w:ascii="Times New Roman" w:hAnsi="Times New Roman" w:eastAsia="仿宋_GB2312"/>
                <w:kern w:val="0"/>
                <w:sz w:val="21"/>
                <w:szCs w:val="21"/>
              </w:rPr>
              <w:t>1.属于国家秘密</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kern w:val="0"/>
                <w:sz w:val="21"/>
                <w:szCs w:val="21"/>
              </w:rPr>
            </w:pPr>
            <w:r>
              <w:rPr>
                <w:rFonts w:hint="eastAsia" w:ascii="Times New Roman" w:hAnsi="Times New Roman" w:eastAsia="仿宋_GB2312"/>
                <w:kern w:val="0"/>
                <w:sz w:val="21"/>
                <w:szCs w:val="21"/>
              </w:rPr>
              <w:t>2.</w:t>
            </w:r>
            <w:bookmarkStart w:id="4" w:name="_Hlk66974104"/>
            <w:r>
              <w:rPr>
                <w:rFonts w:hint="eastAsia" w:ascii="Times New Roman" w:hAnsi="Times New Roman" w:eastAsia="仿宋_GB2312"/>
                <w:kern w:val="0"/>
                <w:sz w:val="21"/>
                <w:szCs w:val="21"/>
              </w:rPr>
              <w:t>其他法律行政法规禁止公开</w:t>
            </w:r>
            <w:bookmarkEnd w:id="4"/>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kern w:val="0"/>
                <w:sz w:val="21"/>
                <w:szCs w:val="21"/>
              </w:rPr>
            </w:pPr>
            <w:r>
              <w:rPr>
                <w:rFonts w:hint="eastAsia" w:ascii="Times New Roman" w:hAnsi="Times New Roman" w:eastAsia="仿宋_GB2312"/>
                <w:kern w:val="0"/>
                <w:sz w:val="21"/>
                <w:szCs w:val="21"/>
              </w:rPr>
              <w:t>3.危及“三安全一稳定”</w:t>
            </w:r>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kern w:val="0"/>
                <w:sz w:val="21"/>
                <w:szCs w:val="21"/>
              </w:rPr>
            </w:pPr>
            <w:r>
              <w:rPr>
                <w:rFonts w:hint="eastAsia" w:ascii="Times New Roman" w:hAnsi="Times New Roman" w:eastAsia="仿宋_GB2312"/>
                <w:kern w:val="0"/>
                <w:sz w:val="21"/>
                <w:szCs w:val="21"/>
              </w:rPr>
              <w:t>4.</w:t>
            </w:r>
            <w:bookmarkStart w:id="5" w:name="_Hlk66974290"/>
            <w:r>
              <w:rPr>
                <w:rFonts w:hint="eastAsia" w:ascii="Times New Roman" w:hAnsi="Times New Roman" w:eastAsia="仿宋_GB2312"/>
                <w:kern w:val="0"/>
                <w:sz w:val="21"/>
                <w:szCs w:val="21"/>
              </w:rPr>
              <w:t>保护第三方合法权益</w:t>
            </w:r>
            <w:bookmarkEnd w:id="5"/>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kern w:val="0"/>
                <w:sz w:val="21"/>
                <w:szCs w:val="21"/>
              </w:rPr>
            </w:pPr>
            <w:r>
              <w:rPr>
                <w:rFonts w:hint="eastAsia" w:ascii="Times New Roman" w:hAnsi="Times New Roman" w:eastAsia="仿宋_GB2312"/>
                <w:kern w:val="0"/>
                <w:sz w:val="21"/>
                <w:szCs w:val="21"/>
              </w:rPr>
              <w:t>5.属于三类内部事务信息</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kern w:val="0"/>
                <w:sz w:val="21"/>
                <w:szCs w:val="21"/>
              </w:rPr>
            </w:pPr>
            <w:r>
              <w:rPr>
                <w:rFonts w:hint="eastAsia" w:ascii="Times New Roman" w:hAnsi="Times New Roman" w:eastAsia="仿宋_GB2312"/>
                <w:kern w:val="0"/>
                <w:sz w:val="21"/>
                <w:szCs w:val="21"/>
              </w:rPr>
              <w:t>6.</w:t>
            </w:r>
            <w:bookmarkStart w:id="6" w:name="_Hlk66974555"/>
            <w:r>
              <w:rPr>
                <w:rFonts w:hint="eastAsia" w:ascii="Times New Roman" w:hAnsi="Times New Roman" w:eastAsia="仿宋_GB2312"/>
                <w:kern w:val="0"/>
                <w:sz w:val="21"/>
                <w:szCs w:val="21"/>
              </w:rPr>
              <w:t>属于四类过程性信息</w:t>
            </w:r>
            <w:bookmarkEnd w:id="6"/>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kern w:val="0"/>
                <w:sz w:val="21"/>
                <w:szCs w:val="21"/>
              </w:rPr>
            </w:pPr>
            <w:r>
              <w:rPr>
                <w:rFonts w:hint="eastAsia" w:ascii="Times New Roman" w:hAnsi="Times New Roman" w:eastAsia="仿宋_GB2312"/>
                <w:kern w:val="0"/>
                <w:sz w:val="21"/>
                <w:szCs w:val="21"/>
              </w:rPr>
              <w:t>7.属于行政执法案卷</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kern w:val="0"/>
                <w:sz w:val="21"/>
                <w:szCs w:val="21"/>
              </w:rPr>
            </w:pPr>
            <w:r>
              <w:rPr>
                <w:rFonts w:hint="eastAsia" w:ascii="Times New Roman" w:hAnsi="Times New Roman" w:eastAsia="仿宋_GB2312"/>
                <w:kern w:val="0"/>
                <w:sz w:val="21"/>
                <w:szCs w:val="21"/>
              </w:rPr>
              <w:t>8.</w:t>
            </w:r>
            <w:bookmarkStart w:id="7" w:name="_Hlk66975211"/>
            <w:r>
              <w:rPr>
                <w:rFonts w:hint="eastAsia" w:ascii="Times New Roman" w:hAnsi="Times New Roman" w:eastAsia="仿宋_GB2312"/>
                <w:kern w:val="0"/>
                <w:sz w:val="21"/>
                <w:szCs w:val="21"/>
              </w:rPr>
              <w:t>属于行政查询事项</w:t>
            </w:r>
            <w:bookmarkEnd w:id="7"/>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1701"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r>
              <w:rPr>
                <w:rFonts w:hint="eastAsia" w:ascii="Times New Roman" w:hAnsi="Times New Roman" w:eastAsia="黑体"/>
                <w:kern w:val="0"/>
                <w:sz w:val="21"/>
                <w:szCs w:val="21"/>
              </w:rPr>
              <w:t>（四）无法提供</w:t>
            </w: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kern w:val="0"/>
                <w:sz w:val="21"/>
                <w:szCs w:val="21"/>
              </w:rPr>
            </w:pPr>
            <w:r>
              <w:rPr>
                <w:rFonts w:hint="eastAsia" w:ascii="Times New Roman" w:hAnsi="Times New Roman" w:eastAsia="仿宋_GB2312"/>
                <w:kern w:val="0"/>
                <w:sz w:val="21"/>
                <w:szCs w:val="21"/>
              </w:rPr>
              <w:t>1.本机关不掌握相关政府信息</w:t>
            </w:r>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2</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kern w:val="0"/>
                <w:sz w:val="21"/>
                <w:szCs w:val="21"/>
              </w:rPr>
            </w:pPr>
            <w:r>
              <w:rPr>
                <w:rFonts w:hint="eastAsia" w:ascii="Times New Roman" w:hAnsi="Times New Roman" w:eastAsia="仿宋_GB2312"/>
                <w:kern w:val="0"/>
                <w:sz w:val="21"/>
                <w:szCs w:val="21"/>
              </w:rPr>
              <w:t>2.</w:t>
            </w:r>
            <w:bookmarkStart w:id="8" w:name="_Hlk66975392"/>
            <w:r>
              <w:rPr>
                <w:rFonts w:hint="eastAsia" w:ascii="Times New Roman" w:hAnsi="Times New Roman" w:eastAsia="仿宋_GB2312"/>
                <w:kern w:val="0"/>
                <w:sz w:val="21"/>
                <w:szCs w:val="21"/>
              </w:rPr>
              <w:t>没有现成信息需要另行制作</w:t>
            </w:r>
            <w:bookmarkEnd w:id="8"/>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1</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kern w:val="0"/>
                <w:sz w:val="21"/>
                <w:szCs w:val="21"/>
              </w:rPr>
            </w:pPr>
            <w:r>
              <w:rPr>
                <w:rFonts w:hint="eastAsia" w:ascii="Times New Roman" w:hAnsi="Times New Roman" w:eastAsia="仿宋_GB2312"/>
                <w:kern w:val="0"/>
                <w:sz w:val="21"/>
                <w:szCs w:val="21"/>
              </w:rPr>
              <w:t>3.</w:t>
            </w:r>
            <w:bookmarkStart w:id="9" w:name="_Hlk66975466"/>
            <w:r>
              <w:rPr>
                <w:rFonts w:hint="eastAsia" w:ascii="Times New Roman" w:hAnsi="Times New Roman" w:eastAsia="仿宋_GB2312"/>
                <w:kern w:val="0"/>
                <w:sz w:val="21"/>
                <w:szCs w:val="21"/>
              </w:rPr>
              <w:t>补正后申请内容仍不明确</w:t>
            </w:r>
            <w:bookmarkEnd w:id="9"/>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1701"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r>
              <w:rPr>
                <w:rFonts w:hint="eastAsia" w:ascii="Times New Roman" w:hAnsi="Times New Roman" w:eastAsia="黑体"/>
                <w:kern w:val="0"/>
                <w:sz w:val="21"/>
                <w:szCs w:val="21"/>
              </w:rPr>
              <w:t>（五）不予处理</w:t>
            </w: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kern w:val="0"/>
                <w:sz w:val="21"/>
                <w:szCs w:val="21"/>
              </w:rPr>
            </w:pPr>
            <w:r>
              <w:rPr>
                <w:rFonts w:hint="eastAsia" w:ascii="Times New Roman" w:hAnsi="Times New Roman" w:eastAsia="仿宋_GB2312"/>
                <w:kern w:val="0"/>
                <w:sz w:val="21"/>
                <w:szCs w:val="21"/>
              </w:rPr>
              <w:t>1.</w:t>
            </w:r>
            <w:bookmarkStart w:id="10" w:name="_Hlk66975537"/>
            <w:r>
              <w:rPr>
                <w:rFonts w:hint="eastAsia" w:ascii="Times New Roman" w:hAnsi="Times New Roman" w:eastAsia="仿宋_GB2312"/>
                <w:kern w:val="0"/>
                <w:sz w:val="21"/>
                <w:szCs w:val="21"/>
              </w:rPr>
              <w:t>信访举报投诉类申请</w:t>
            </w:r>
            <w:bookmarkEnd w:id="10"/>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kern w:val="0"/>
                <w:sz w:val="21"/>
                <w:szCs w:val="21"/>
              </w:rPr>
            </w:pPr>
            <w:r>
              <w:rPr>
                <w:rFonts w:hint="eastAsia" w:ascii="Times New Roman" w:hAnsi="Times New Roman" w:eastAsia="仿宋_GB2312"/>
                <w:kern w:val="0"/>
                <w:sz w:val="21"/>
                <w:szCs w:val="21"/>
              </w:rPr>
              <w:t>2.重复申请</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sz w:val="21"/>
                <w:szCs w:val="21"/>
              </w:rPr>
            </w:pPr>
            <w:r>
              <w:rPr>
                <w:rFonts w:hint="eastAsia" w:ascii="Times New Roman" w:hAnsi="Times New Roman" w:eastAsia="仿宋_GB2312"/>
                <w:kern w:val="0"/>
                <w:sz w:val="21"/>
                <w:szCs w:val="21"/>
              </w:rPr>
              <w:t>3.要求提供公开出版物</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sz w:val="21"/>
                <w:szCs w:val="21"/>
              </w:rPr>
            </w:pPr>
            <w:r>
              <w:rPr>
                <w:rFonts w:hint="eastAsia" w:ascii="Times New Roman" w:hAnsi="Times New Roman" w:eastAsia="仿宋_GB2312"/>
                <w:kern w:val="0"/>
                <w:sz w:val="21"/>
                <w:szCs w:val="21"/>
              </w:rPr>
              <w:t>4.无正当理由大量反复申请</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sz w:val="21"/>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kern w:val="0"/>
                <w:sz w:val="21"/>
                <w:szCs w:val="21"/>
              </w:rPr>
            </w:pPr>
            <w:r>
              <w:rPr>
                <w:rFonts w:hint="eastAsia" w:ascii="Times New Roman" w:hAnsi="Times New Roman" w:eastAsia="仿宋_GB2312"/>
                <w:kern w:val="0"/>
                <w:sz w:val="21"/>
                <w:szCs w:val="21"/>
              </w:rPr>
              <w:t>5.要求行政机关确认或重新</w:t>
            </w:r>
          </w:p>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sz w:val="21"/>
                <w:szCs w:val="21"/>
              </w:rPr>
            </w:pPr>
            <w:r>
              <w:rPr>
                <w:rFonts w:hint="eastAsia" w:ascii="Times New Roman" w:hAnsi="Times New Roman" w:eastAsia="仿宋_GB2312"/>
                <w:kern w:val="0"/>
                <w:sz w:val="21"/>
                <w:szCs w:val="21"/>
              </w:rPr>
              <w:t>出具已获取信息</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1701"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rPr>
                <w:rFonts w:ascii="Times New Roman" w:hAnsi="Times New Roman" w:eastAsia="黑体"/>
                <w:kern w:val="0"/>
                <w:sz w:val="21"/>
                <w:szCs w:val="21"/>
              </w:rPr>
            </w:pPr>
            <w:r>
              <w:rPr>
                <w:rFonts w:hint="eastAsia" w:ascii="Times New Roman" w:hAnsi="Times New Roman" w:eastAsia="黑体"/>
                <w:kern w:val="0"/>
                <w:sz w:val="21"/>
                <w:szCs w:val="21"/>
              </w:rPr>
              <w:t>（六）其他处理</w:t>
            </w:r>
          </w:p>
        </w:tc>
        <w:tc>
          <w:tcPr>
            <w:tcW w:w="2976"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sz w:val="21"/>
              </w:rPr>
            </w:pPr>
            <w:r>
              <w:rPr>
                <w:rFonts w:hint="eastAsia" w:ascii="Times New Roman" w:hAnsi="Times New Roman" w:eastAsia="仿宋_GB2312"/>
                <w:sz w:val="21"/>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170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kern w:val="0"/>
                <w:sz w:val="21"/>
                <w:szCs w:val="21"/>
              </w:rPr>
            </w:pPr>
          </w:p>
        </w:tc>
        <w:tc>
          <w:tcPr>
            <w:tcW w:w="2976"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kern w:val="0"/>
                <w:sz w:val="21"/>
                <w:szCs w:val="21"/>
              </w:rPr>
            </w:pPr>
            <w:r>
              <w:rPr>
                <w:rFonts w:hint="eastAsia" w:ascii="Times New Roman" w:hAnsi="Times New Roman" w:eastAsia="仿宋_GB2312"/>
                <w:sz w:val="21"/>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170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kern w:val="0"/>
                <w:sz w:val="21"/>
                <w:szCs w:val="21"/>
              </w:rPr>
            </w:pPr>
          </w:p>
        </w:tc>
        <w:tc>
          <w:tcPr>
            <w:tcW w:w="2976"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仿宋_GB2312"/>
                <w:kern w:val="0"/>
                <w:sz w:val="21"/>
                <w:szCs w:val="21"/>
              </w:rPr>
            </w:pPr>
            <w:r>
              <w:rPr>
                <w:rFonts w:hint="eastAsia" w:ascii="Times New Roman" w:hAnsi="Times New Roman" w:eastAsia="仿宋_GB2312"/>
                <w:sz w:val="21"/>
              </w:rPr>
              <w:t>3.其他</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sz w:val="21"/>
                <w:szCs w:val="21"/>
              </w:rPr>
            </w:pPr>
          </w:p>
        </w:tc>
        <w:tc>
          <w:tcPr>
            <w:tcW w:w="4677"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kern w:val="0"/>
                <w:sz w:val="21"/>
                <w:szCs w:val="21"/>
              </w:rPr>
            </w:pPr>
            <w:r>
              <w:rPr>
                <w:rFonts w:hint="eastAsia" w:ascii="Times New Roman" w:hAnsi="Times New Roman" w:eastAsia="黑体"/>
                <w:kern w:val="0"/>
                <w:sz w:val="21"/>
                <w:szCs w:val="21"/>
              </w:rPr>
              <w:t>（七）总计</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6</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textAlignment w:val="auto"/>
              <w:rPr>
                <w:rFonts w:ascii="Times New Roman" w:hAnsi="Times New Roman" w:eastAsia="黑体"/>
                <w:kern w:val="0"/>
                <w:sz w:val="21"/>
                <w:szCs w:val="21"/>
              </w:rPr>
            </w:pPr>
            <w:r>
              <w:rPr>
                <w:rFonts w:hint="eastAsia" w:ascii="Times New Roman" w:hAnsi="Times New Roman" w:eastAsia="黑体"/>
                <w:kern w:val="0"/>
                <w:sz w:val="21"/>
                <w:szCs w:val="21"/>
              </w:rPr>
              <w:t>四、结转下年度继续办理</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bookmarkEnd w:id="1"/>
    </w:tbl>
    <w:p>
      <w:pPr>
        <w:pStyle w:val="4"/>
        <w:keepNext/>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四、政府信息公开行政复议、行政诉讼情况</w:t>
      </w:r>
    </w:p>
    <w:tbl>
      <w:tblPr>
        <w:tblStyle w:val="7"/>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rPr>
            </w:pPr>
            <w:bookmarkStart w:id="11" w:name="OLE_LINK3"/>
            <w:r>
              <w:rPr>
                <w:rFonts w:hint="default" w:ascii="Times New Roman" w:hAnsi="Times New Roman" w:eastAsia="黑体" w:cs="Times New Roman"/>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总</w:t>
            </w:r>
          </w:p>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rPr>
            </w:pPr>
            <w:bookmarkStart w:id="12" w:name="_Hlk67039688"/>
            <w:r>
              <w:rPr>
                <w:rFonts w:hint="default" w:ascii="Times New Roman" w:hAnsi="Times New Roman" w:eastAsia="黑体" w:cs="Times New Roman"/>
                <w:kern w:val="0"/>
                <w:sz w:val="20"/>
                <w:szCs w:val="20"/>
              </w:rPr>
              <w:t>复议后起诉</w:t>
            </w:r>
            <w:bookmarkEnd w:id="12"/>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keepLines/>
              <w:pageBreakBefore w:val="0"/>
              <w:kinsoku/>
              <w:wordWrap/>
              <w:overflowPunct/>
              <w:topLinePunct w:val="0"/>
              <w:autoSpaceDE/>
              <w:autoSpaceDN/>
              <w:bidi w:val="0"/>
              <w:adjustRightInd/>
              <w:snapToGrid/>
              <w:spacing w:line="560" w:lineRule="exact"/>
              <w:ind w:left="0" w:leftChars="0" w:right="0" w:rightChars="0" w:firstLine="0" w:firstLineChars="0"/>
              <w:textAlignment w:val="auto"/>
              <w:rPr>
                <w:rFonts w:hint="default" w:ascii="Times New Roman" w:hAnsi="Times New Roman" w:eastAsia="黑体" w:cs="Times New Roman"/>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kinsoku/>
              <w:wordWrap/>
              <w:overflowPunct/>
              <w:topLinePunct w:val="0"/>
              <w:autoSpaceDE/>
              <w:autoSpaceDN/>
              <w:bidi w:val="0"/>
              <w:adjustRightInd/>
              <w:snapToGrid/>
              <w:spacing w:line="560" w:lineRule="exact"/>
              <w:ind w:left="0" w:leftChars="0" w:right="0" w:rightChars="0" w:firstLine="0" w:firstLineChars="0"/>
              <w:textAlignment w:val="auto"/>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kinsoku/>
              <w:wordWrap/>
              <w:overflowPunct/>
              <w:topLinePunct w:val="0"/>
              <w:autoSpaceDE/>
              <w:autoSpaceDN/>
              <w:bidi w:val="0"/>
              <w:adjustRightInd/>
              <w:snapToGrid/>
              <w:spacing w:line="560" w:lineRule="exact"/>
              <w:ind w:left="0" w:leftChars="0" w:right="0" w:rightChars="0" w:firstLine="0" w:firstLineChars="0"/>
              <w:textAlignment w:val="auto"/>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kinsoku/>
              <w:wordWrap/>
              <w:overflowPunct/>
              <w:topLinePunct w:val="0"/>
              <w:autoSpaceDE/>
              <w:autoSpaceDN/>
              <w:bidi w:val="0"/>
              <w:adjustRightInd/>
              <w:snapToGrid/>
              <w:spacing w:line="560" w:lineRule="exact"/>
              <w:ind w:left="0" w:leftChars="0" w:right="0" w:rightChars="0" w:firstLine="0" w:firstLineChars="0"/>
              <w:textAlignment w:val="auto"/>
              <w:rPr>
                <w:rFonts w:hint="default" w:ascii="Times New Roman" w:hAnsi="Times New Roman" w:eastAsia="黑体" w:cs="Times New Roman"/>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kinsoku/>
              <w:wordWrap/>
              <w:overflowPunct/>
              <w:topLinePunct w:val="0"/>
              <w:autoSpaceDE/>
              <w:autoSpaceDN/>
              <w:bidi w:val="0"/>
              <w:adjustRightInd/>
              <w:snapToGrid/>
              <w:spacing w:line="560" w:lineRule="exact"/>
              <w:ind w:left="0" w:leftChars="0" w:right="0" w:rightChars="0" w:firstLine="0" w:firstLineChars="0"/>
              <w:textAlignment w:val="auto"/>
              <w:rPr>
                <w:rFonts w:hint="default" w:ascii="Times New Roman" w:hAnsi="Times New Roman" w:eastAsia="黑体" w:cs="Times New Roman"/>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30" w:hRule="atLeast"/>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textDirection w:val="lrTbV"/>
            <w:vAlign w:val="top"/>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仿宋_GB2312" w:cs="Times New Roman"/>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textDirection w:val="lrTbV"/>
            <w:vAlign w:val="top"/>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仿宋_GB2312" w:cs="Times New Roman"/>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textDirection w:val="lrTbV"/>
            <w:vAlign w:val="top"/>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仿宋_GB2312" w:cs="Times New Roman"/>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textDirection w:val="lrTbV"/>
            <w:vAlign w:val="top"/>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仿宋_GB2312" w:cs="Times New Roman"/>
                <w:lang w:val="en-US" w:eastAsia="zh-CN"/>
              </w:rPr>
            </w:pPr>
            <w:r>
              <w:rPr>
                <w:rFonts w:hint="default" w:ascii="Times New Roman" w:hAnsi="Times New Roman" w:cs="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textDirection w:val="lrTbV"/>
            <w:vAlign w:val="top"/>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仿宋_GB2312" w:cs="Times New Roman"/>
                <w:lang w:val="en-US" w:eastAsia="zh-CN"/>
              </w:rPr>
            </w:pPr>
            <w:r>
              <w:rPr>
                <w:rFonts w:hint="default" w:ascii="Times New Roman" w:hAnsi="Times New Roman" w:cs="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textDirection w:val="lrTbV"/>
            <w:vAlign w:val="top"/>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仿宋_GB2312"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textDirection w:val="lrTbV"/>
            <w:vAlign w:val="top"/>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仿宋_GB2312"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textDirection w:val="lrTbV"/>
            <w:vAlign w:val="top"/>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仿宋_GB2312"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textDirection w:val="lrTbV"/>
            <w:vAlign w:val="top"/>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仿宋_GB2312"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textDirection w:val="lrTbV"/>
            <w:vAlign w:val="top"/>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仿宋_GB2312" w:cs="Times New Roman"/>
                <w:lang w:val="en-US" w:eastAsia="zh-CN"/>
              </w:rPr>
            </w:pPr>
            <w:r>
              <w:rPr>
                <w:rFonts w:hint="default" w:ascii="Times New Roman" w:hAnsi="Times New Roman" w:cs="Times New Roman"/>
                <w:lang w:val="en-US" w:eastAsia="zh-CN"/>
              </w:rPr>
              <w:t>0</w:t>
            </w:r>
            <w:bookmarkStart w:id="13" w:name="_GoBack"/>
            <w:bookmarkEnd w:id="13"/>
          </w:p>
        </w:tc>
        <w:tc>
          <w:tcPr>
            <w:tcW w:w="605" w:type="dxa"/>
            <w:tcBorders>
              <w:top w:val="nil"/>
              <w:left w:val="nil"/>
              <w:bottom w:val="single" w:color="auto" w:sz="8" w:space="0"/>
              <w:right w:val="single" w:color="auto" w:sz="8" w:space="0"/>
            </w:tcBorders>
            <w:shd w:val="clear" w:color="auto" w:fill="auto"/>
            <w:tcMar>
              <w:left w:w="108" w:type="dxa"/>
              <w:right w:w="108" w:type="dxa"/>
            </w:tcMar>
            <w:textDirection w:val="lrTbV"/>
            <w:vAlign w:val="top"/>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仿宋_GB2312"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textDirection w:val="lrTbV"/>
            <w:vAlign w:val="top"/>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仿宋_GB2312"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textDirection w:val="lrTbV"/>
            <w:vAlign w:val="top"/>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仿宋_GB2312" w:cs="Times New Roman"/>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textDirection w:val="lrTbV"/>
            <w:vAlign w:val="top"/>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仿宋_GB2312" w:cs="Times New Roman"/>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textDirection w:val="lrTbV"/>
            <w:vAlign w:val="top"/>
          </w:tcPr>
          <w:p>
            <w:pPr>
              <w:keepNext/>
              <w:keepLines/>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rPr>
                <w:rFonts w:hint="default" w:ascii="Times New Roman" w:hAnsi="Times New Roman" w:eastAsia="仿宋_GB2312" w:cs="Times New Roman"/>
                <w:lang w:val="en-US" w:eastAsia="zh-CN"/>
              </w:rPr>
            </w:pPr>
            <w:r>
              <w:rPr>
                <w:rFonts w:hint="default" w:ascii="Times New Roman" w:hAnsi="Times New Roman" w:cs="Times New Roman"/>
                <w:lang w:val="en-US" w:eastAsia="zh-CN"/>
              </w:rPr>
              <w:t>0</w:t>
            </w:r>
          </w:p>
        </w:tc>
      </w:tr>
      <w:bookmarkEnd w:id="11"/>
    </w:tbl>
    <w:p>
      <w:pPr>
        <w:pStyle w:val="4"/>
        <w:numPr>
          <w:ilvl w:val="0"/>
          <w:numId w:val="1"/>
        </w:numPr>
        <w:bidi w:val="0"/>
        <w:rPr>
          <w:rFonts w:hint="default" w:ascii="Times New Roman" w:hAnsi="Times New Roman" w:cs="Times New Roman"/>
          <w:lang w:val="en-US" w:eastAsia="zh-CN"/>
        </w:rPr>
      </w:pPr>
      <w:r>
        <w:rPr>
          <w:rFonts w:hint="default" w:ascii="Times New Roman" w:hAnsi="Times New Roman" w:cs="Times New Roman"/>
          <w:lang w:val="en-US" w:eastAsia="zh-CN"/>
        </w:rPr>
        <w:t>存在的主要问题及改进情况</w:t>
      </w:r>
    </w:p>
    <w:p>
      <w:pPr>
        <w:bidi w:val="0"/>
        <w:rPr>
          <w:rFonts w:hint="default" w:ascii="Times New Roman" w:hAnsi="Times New Roman" w:cs="Times New Roman"/>
          <w:lang w:val="en" w:eastAsia="zh-CN"/>
        </w:rPr>
      </w:pPr>
      <w:r>
        <w:rPr>
          <w:rStyle w:val="11"/>
          <w:rFonts w:hint="eastAsia"/>
          <w:lang w:val="en-US" w:eastAsia="zh-CN"/>
        </w:rPr>
        <w:t>工作中存在的主要问题：</w:t>
      </w:r>
      <w:r>
        <w:rPr>
          <w:rFonts w:hint="eastAsia" w:ascii="Times New Roman" w:hAnsi="Times New Roman" w:cs="Times New Roman"/>
          <w:lang w:val="en-US" w:eastAsia="zh-CN"/>
        </w:rPr>
        <w:t>一是政府信息公开的内容不够全面，公开形式不够丰富，政策解读形式较为单一；二是工作缺乏开拓创新精神，个别科室、少数工作人员对政府信息公开意识相对较弱、主动公开意识还有待提高。</w:t>
      </w:r>
    </w:p>
    <w:p>
      <w:pPr>
        <w:bidi w:val="0"/>
        <w:rPr>
          <w:rFonts w:hint="default" w:ascii="Times New Roman" w:hAnsi="Times New Roman" w:cs="Times New Roman"/>
          <w:lang w:val="en" w:eastAsia="zh-CN"/>
        </w:rPr>
      </w:pPr>
      <w:r>
        <w:rPr>
          <w:rStyle w:val="11"/>
          <w:rFonts w:hint="eastAsia"/>
          <w:lang w:val="en-US" w:eastAsia="zh-CN"/>
        </w:rPr>
        <w:t>问题的解决办法和改进措施：</w:t>
      </w:r>
      <w:r>
        <w:rPr>
          <w:rFonts w:hint="eastAsia" w:ascii="Times New Roman" w:hAnsi="Times New Roman" w:cs="Times New Roman"/>
          <w:lang w:val="en-US" w:eastAsia="zh-CN"/>
        </w:rPr>
        <w:t>一是扩大信息公开范围，提高公开信息质量，力争在规范化、制度化、程序化等方面取得新进展，保证政务公开工作的稳步推进。二是提升政策解读质量，综合运用领导</w:t>
      </w:r>
      <w:r>
        <w:rPr>
          <w:rFonts w:hint="eastAsia" w:cs="Times New Roman"/>
          <w:lang w:val="en-US" w:eastAsia="zh-CN"/>
        </w:rPr>
        <w:t>干部</w:t>
      </w:r>
      <w:r>
        <w:rPr>
          <w:rFonts w:hint="eastAsia" w:ascii="Times New Roman" w:hAnsi="Times New Roman" w:cs="Times New Roman"/>
          <w:lang w:val="en-US" w:eastAsia="zh-CN"/>
        </w:rPr>
        <w:t>解读、动漫解读、</w:t>
      </w:r>
      <w:r>
        <w:rPr>
          <w:rFonts w:hint="eastAsia" w:cs="Times New Roman"/>
          <w:lang w:val="en-US" w:eastAsia="zh-CN"/>
        </w:rPr>
        <w:t>音视频解读、</w:t>
      </w:r>
      <w:r>
        <w:rPr>
          <w:rFonts w:hint="eastAsia" w:ascii="Times New Roman" w:hAnsi="Times New Roman" w:cs="Times New Roman"/>
          <w:lang w:val="en-US" w:eastAsia="zh-CN"/>
        </w:rPr>
        <w:t>媒体解读、专家问答等形式开展多样化解读，不断提升政策解读实效。三是进一步加强政府信息公开工作相关内容的培训力度，提高相关工作人员的思想认识和工作技能，不断增强政府信息公开工作的能力水平。</w:t>
      </w:r>
    </w:p>
    <w:p>
      <w:pPr>
        <w:pStyle w:val="4"/>
        <w:keepNext/>
        <w:keepLines w:val="0"/>
        <w:pageBreakBefore w:val="0"/>
        <w:widowControl w:val="0"/>
        <w:kinsoku/>
        <w:wordWrap/>
        <w:overflowPunct/>
        <w:topLinePunct w:val="0"/>
        <w:autoSpaceDE/>
        <w:autoSpaceDN/>
        <w:bidi w:val="0"/>
        <w:adjustRightInd/>
        <w:snapToGrid/>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六、其他需要报告的事项</w:t>
      </w:r>
    </w:p>
    <w:p>
      <w:pPr>
        <w:pStyle w:val="6"/>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sz w:val="32"/>
          <w:szCs w:val="32"/>
        </w:rPr>
      </w:pPr>
      <w:r>
        <w:rPr>
          <w:rFonts w:hint="eastAsia" w:eastAsia="楷体_GB2312" w:cs="Times New Roman"/>
          <w:sz w:val="32"/>
          <w:szCs w:val="32"/>
          <w:lang w:eastAsia="zh-CN"/>
        </w:rPr>
        <w:t>（</w:t>
      </w:r>
      <w:r>
        <w:rPr>
          <w:rFonts w:hint="eastAsia" w:eastAsia="楷体_GB2312" w:cs="Times New Roman"/>
          <w:sz w:val="32"/>
          <w:szCs w:val="32"/>
          <w:lang w:val="en-US" w:eastAsia="zh-CN"/>
        </w:rPr>
        <w:t>一）</w:t>
      </w:r>
      <w:r>
        <w:rPr>
          <w:rFonts w:hint="default" w:ascii="Times New Roman" w:hAnsi="Times New Roman" w:eastAsia="楷体_GB2312" w:cs="Times New Roman"/>
          <w:sz w:val="32"/>
          <w:szCs w:val="32"/>
        </w:rPr>
        <w:t>政府信息公开收费方面：</w:t>
      </w:r>
      <w:r>
        <w:rPr>
          <w:rFonts w:hint="default" w:ascii="Times New Roman" w:hAnsi="Times New Roman" w:cs="Times New Roman"/>
          <w:sz w:val="32"/>
          <w:szCs w:val="32"/>
        </w:rPr>
        <w:t>202</w:t>
      </w:r>
      <w:r>
        <w:rPr>
          <w:rFonts w:hint="default" w:ascii="Times New Roman" w:hAnsi="Times New Roman" w:cs="Times New Roman"/>
          <w:sz w:val="32"/>
          <w:szCs w:val="32"/>
          <w:lang w:val="en-US" w:eastAsia="zh-CN"/>
        </w:rPr>
        <w:t>3</w:t>
      </w:r>
      <w:r>
        <w:rPr>
          <w:rFonts w:hint="default" w:ascii="Times New Roman" w:hAnsi="Times New Roman" w:eastAsia="仿宋_GB2312" w:cs="Times New Roman"/>
          <w:sz w:val="32"/>
          <w:szCs w:val="32"/>
        </w:rPr>
        <w:t>年</w:t>
      </w:r>
      <w:r>
        <w:rPr>
          <w:rFonts w:hint="default" w:ascii="Times New Roman" w:hAnsi="Times New Roman" w:cs="Times New Roman"/>
          <w:sz w:val="32"/>
          <w:szCs w:val="32"/>
          <w:lang w:val="en-US" w:eastAsia="zh-CN"/>
        </w:rPr>
        <w:t>综合行政执法局</w:t>
      </w:r>
      <w:r>
        <w:rPr>
          <w:rFonts w:hint="default" w:ascii="Times New Roman" w:hAnsi="Times New Roman" w:eastAsia="仿宋_GB2312" w:cs="Times New Roman"/>
          <w:sz w:val="32"/>
          <w:szCs w:val="32"/>
        </w:rPr>
        <w:t>未收取政府信息公开信息处理费。</w:t>
      </w:r>
    </w:p>
    <w:p>
      <w:pPr>
        <w:pStyle w:val="6"/>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cs="Times New Roman"/>
          <w:sz w:val="32"/>
          <w:szCs w:val="32"/>
          <w:highlight w:val="none"/>
          <w:u w:val="none"/>
        </w:rPr>
      </w:pPr>
      <w:r>
        <w:rPr>
          <w:rFonts w:hint="eastAsia" w:eastAsia="楷体_GB2312" w:cs="Times New Roman"/>
          <w:sz w:val="32"/>
          <w:szCs w:val="32"/>
          <w:highlight w:val="none"/>
          <w:lang w:eastAsia="zh-CN"/>
        </w:rPr>
        <w:t>（</w:t>
      </w:r>
      <w:r>
        <w:rPr>
          <w:rFonts w:hint="eastAsia" w:eastAsia="楷体_GB2312" w:cs="Times New Roman"/>
          <w:sz w:val="32"/>
          <w:szCs w:val="32"/>
          <w:highlight w:val="none"/>
          <w:lang w:val="en-US" w:eastAsia="zh-CN"/>
        </w:rPr>
        <w:t>二）</w:t>
      </w:r>
      <w:r>
        <w:rPr>
          <w:rFonts w:hint="default" w:ascii="Times New Roman" w:hAnsi="Times New Roman" w:eastAsia="楷体_GB2312" w:cs="Times New Roman"/>
          <w:sz w:val="32"/>
          <w:szCs w:val="32"/>
          <w:highlight w:val="none"/>
        </w:rPr>
        <w:t>人大代表建议和政协委员提案办理方面：</w:t>
      </w:r>
      <w:r>
        <w:rPr>
          <w:rFonts w:hint="default" w:ascii="Times New Roman" w:hAnsi="Times New Roman" w:cs="Times New Roman"/>
          <w:sz w:val="32"/>
          <w:szCs w:val="32"/>
          <w:highlight w:val="none"/>
          <w:u w:val="none"/>
        </w:rPr>
        <w:t>202</w:t>
      </w:r>
      <w:r>
        <w:rPr>
          <w:rFonts w:hint="default" w:ascii="Times New Roman" w:hAnsi="Times New Roman" w:cs="Times New Roman"/>
          <w:sz w:val="32"/>
          <w:szCs w:val="32"/>
          <w:highlight w:val="none"/>
          <w:u w:val="none"/>
          <w:lang w:val="en-US" w:eastAsia="zh-CN"/>
        </w:rPr>
        <w:t>3</w:t>
      </w:r>
      <w:r>
        <w:rPr>
          <w:rFonts w:hint="default" w:ascii="Times New Roman" w:hAnsi="Times New Roman" w:eastAsia="仿宋_GB2312" w:cs="Times New Roman"/>
          <w:sz w:val="32"/>
          <w:szCs w:val="32"/>
          <w:highlight w:val="none"/>
          <w:u w:val="none"/>
        </w:rPr>
        <w:t>年</w:t>
      </w:r>
      <w:r>
        <w:rPr>
          <w:rFonts w:hint="default" w:ascii="Times New Roman" w:hAnsi="Times New Roman" w:cs="Times New Roman"/>
          <w:sz w:val="32"/>
          <w:szCs w:val="32"/>
          <w:highlight w:val="none"/>
          <w:u w:val="none"/>
          <w:lang w:val="en-US" w:eastAsia="zh-CN"/>
        </w:rPr>
        <w:t>综合行政执法局</w:t>
      </w:r>
      <w:r>
        <w:rPr>
          <w:rFonts w:hint="default" w:ascii="Times New Roman" w:hAnsi="Times New Roman" w:eastAsia="仿宋_GB2312" w:cs="Times New Roman"/>
          <w:sz w:val="32"/>
          <w:szCs w:val="32"/>
          <w:highlight w:val="none"/>
          <w:u w:val="none"/>
        </w:rPr>
        <w:t>共承办</w:t>
      </w:r>
      <w:r>
        <w:rPr>
          <w:rFonts w:hint="default" w:ascii="Times New Roman" w:hAnsi="Times New Roman" w:cs="Times New Roman"/>
          <w:sz w:val="32"/>
          <w:szCs w:val="32"/>
          <w:highlight w:val="none"/>
          <w:u w:val="none"/>
          <w:lang w:val="en-US" w:eastAsia="zh-CN"/>
        </w:rPr>
        <w:t>区</w:t>
      </w:r>
      <w:r>
        <w:rPr>
          <w:rFonts w:hint="default" w:ascii="Times New Roman" w:hAnsi="Times New Roman" w:eastAsia="仿宋_GB2312" w:cs="Times New Roman"/>
          <w:sz w:val="32"/>
          <w:szCs w:val="32"/>
          <w:highlight w:val="none"/>
          <w:u w:val="none"/>
        </w:rPr>
        <w:t>人大代表建议</w:t>
      </w:r>
      <w:r>
        <w:rPr>
          <w:rFonts w:hint="default" w:ascii="Times New Roman" w:hAnsi="Times New Roman" w:cs="Times New Roman"/>
          <w:sz w:val="32"/>
          <w:szCs w:val="32"/>
          <w:u w:val="none"/>
          <w:lang w:val="en-US" w:eastAsia="zh-CN"/>
        </w:rPr>
        <w:t>2</w:t>
      </w:r>
      <w:r>
        <w:rPr>
          <w:rFonts w:hint="default" w:ascii="Times New Roman" w:hAnsi="Times New Roman" w:eastAsia="仿宋_GB2312" w:cs="Times New Roman"/>
          <w:sz w:val="32"/>
          <w:szCs w:val="32"/>
          <w:highlight w:val="none"/>
          <w:u w:val="none"/>
        </w:rPr>
        <w:t>件、政协</w:t>
      </w:r>
      <w:r>
        <w:rPr>
          <w:rFonts w:hint="eastAsia" w:cs="Times New Roman"/>
          <w:sz w:val="32"/>
          <w:szCs w:val="32"/>
          <w:highlight w:val="none"/>
          <w:u w:val="none"/>
          <w:lang w:val="en-US" w:eastAsia="zh-CN"/>
        </w:rPr>
        <w:t>委员</w:t>
      </w:r>
      <w:r>
        <w:rPr>
          <w:rFonts w:hint="default" w:ascii="Times New Roman" w:hAnsi="Times New Roman" w:eastAsia="仿宋_GB2312" w:cs="Times New Roman"/>
          <w:sz w:val="32"/>
          <w:szCs w:val="32"/>
          <w:highlight w:val="none"/>
          <w:u w:val="none"/>
        </w:rPr>
        <w:t>提案</w:t>
      </w:r>
      <w:r>
        <w:rPr>
          <w:rFonts w:hint="eastAsia" w:ascii="Times New Roman" w:hAnsi="Times New Roman" w:cs="Times New Roman"/>
          <w:sz w:val="32"/>
          <w:szCs w:val="32"/>
          <w:highlight w:val="none"/>
          <w:u w:val="none"/>
          <w:lang w:val="en-US" w:eastAsia="zh-CN"/>
        </w:rPr>
        <w:t>5</w:t>
      </w:r>
      <w:r>
        <w:rPr>
          <w:rFonts w:hint="default" w:ascii="Times New Roman" w:hAnsi="Times New Roman" w:eastAsia="仿宋_GB2312" w:cs="Times New Roman"/>
          <w:sz w:val="32"/>
          <w:szCs w:val="32"/>
          <w:highlight w:val="none"/>
          <w:u w:val="none"/>
        </w:rPr>
        <w:t>件。目前，已全部办理完成，办复率</w:t>
      </w:r>
      <w:r>
        <w:rPr>
          <w:rFonts w:hint="default" w:ascii="Times New Roman" w:hAnsi="Times New Roman" w:cs="Times New Roman"/>
          <w:sz w:val="32"/>
          <w:szCs w:val="32"/>
          <w:highlight w:val="none"/>
          <w:u w:val="none"/>
        </w:rPr>
        <w:t>100%</w:t>
      </w:r>
      <w:r>
        <w:rPr>
          <w:rFonts w:hint="default" w:ascii="Times New Roman" w:hAnsi="Times New Roman" w:eastAsia="仿宋_GB2312" w:cs="Times New Roman"/>
          <w:sz w:val="32"/>
          <w:szCs w:val="32"/>
          <w:highlight w:val="none"/>
          <w:u w:val="none"/>
        </w:rPr>
        <w:t>，办理结果为</w:t>
      </w:r>
      <w:r>
        <w:rPr>
          <w:rFonts w:hint="default" w:ascii="Times New Roman" w:hAnsi="Times New Roman" w:cs="Times New Roman"/>
          <w:sz w:val="32"/>
          <w:szCs w:val="32"/>
          <w:highlight w:val="none"/>
          <w:u w:val="none"/>
        </w:rPr>
        <w:t>A</w:t>
      </w:r>
      <w:r>
        <w:rPr>
          <w:rFonts w:hint="default" w:ascii="Times New Roman" w:hAnsi="Times New Roman" w:eastAsia="仿宋_GB2312" w:cs="Times New Roman"/>
          <w:sz w:val="32"/>
          <w:szCs w:val="32"/>
          <w:highlight w:val="none"/>
          <w:u w:val="none"/>
        </w:rPr>
        <w:t>类</w:t>
      </w:r>
      <w:r>
        <w:rPr>
          <w:rFonts w:hint="default" w:ascii="Times New Roman" w:hAnsi="Times New Roman" w:cs="Times New Roman"/>
          <w:sz w:val="32"/>
          <w:szCs w:val="32"/>
          <w:u w:val="none"/>
          <w:lang w:val="en-US" w:eastAsia="zh-CN"/>
        </w:rPr>
        <w:t>1</w:t>
      </w:r>
      <w:r>
        <w:rPr>
          <w:rFonts w:hint="default" w:ascii="Times New Roman" w:hAnsi="Times New Roman" w:eastAsia="仿宋_GB2312" w:cs="Times New Roman"/>
          <w:sz w:val="32"/>
          <w:szCs w:val="32"/>
          <w:highlight w:val="none"/>
          <w:u w:val="none"/>
        </w:rPr>
        <w:t>件</w:t>
      </w:r>
      <w:r>
        <w:rPr>
          <w:rFonts w:hint="default" w:ascii="Times New Roman" w:hAnsi="Times New Roman" w:eastAsia="仿宋_GB2312" w:cs="Times New Roman"/>
          <w:sz w:val="32"/>
          <w:szCs w:val="32"/>
          <w:highlight w:val="none"/>
          <w:u w:val="none"/>
          <w:lang w:eastAsia="zh-CN"/>
        </w:rPr>
        <w:t>、</w:t>
      </w:r>
      <w:r>
        <w:rPr>
          <w:rFonts w:hint="default" w:ascii="Times New Roman" w:hAnsi="Times New Roman" w:eastAsia="仿宋_GB2312" w:cs="Times New Roman"/>
          <w:sz w:val="32"/>
          <w:szCs w:val="32"/>
          <w:highlight w:val="none"/>
          <w:u w:val="none"/>
          <w:lang w:val="en-US" w:eastAsia="zh-CN"/>
        </w:rPr>
        <w:t>B</w:t>
      </w:r>
      <w:r>
        <w:rPr>
          <w:rFonts w:hint="eastAsia" w:ascii="Times New Roman" w:hAnsi="Times New Roman" w:cs="Times New Roman"/>
          <w:sz w:val="32"/>
          <w:szCs w:val="32"/>
          <w:highlight w:val="none"/>
          <w:u w:val="none"/>
          <w:lang w:val="en-US" w:eastAsia="zh-CN"/>
        </w:rPr>
        <w:t>类</w:t>
      </w:r>
      <w:r>
        <w:rPr>
          <w:rFonts w:hint="eastAsia" w:cs="Times New Roman"/>
          <w:sz w:val="32"/>
          <w:szCs w:val="32"/>
          <w:highlight w:val="none"/>
          <w:u w:val="none"/>
          <w:lang w:val="en-US" w:eastAsia="zh-CN"/>
        </w:rPr>
        <w:t>5</w:t>
      </w:r>
      <w:r>
        <w:rPr>
          <w:rFonts w:hint="eastAsia" w:ascii="Times New Roman" w:hAnsi="Times New Roman" w:cs="Times New Roman"/>
          <w:sz w:val="32"/>
          <w:szCs w:val="32"/>
          <w:highlight w:val="none"/>
          <w:u w:val="none"/>
          <w:lang w:val="en-US" w:eastAsia="zh-CN"/>
        </w:rPr>
        <w:t>件、C类1件。</w:t>
      </w:r>
    </w:p>
    <w:p>
      <w:pPr>
        <w:bidi w:val="0"/>
        <w:rPr>
          <w:rFonts w:hint="default" w:cs="Times New Roman"/>
          <w:lang w:val="en-US" w:eastAsia="zh-CN"/>
        </w:rPr>
      </w:pPr>
      <w:r>
        <w:rPr>
          <w:rFonts w:hint="eastAsia" w:ascii="Times New Roman" w:hAnsi="Times New Roman" w:eastAsia="楷体_GB2312" w:cs="Times New Roman"/>
          <w:kern w:val="0"/>
          <w:sz w:val="32"/>
          <w:szCs w:val="32"/>
          <w:lang w:val="en-US" w:eastAsia="zh-CN" w:bidi="ar"/>
        </w:rPr>
        <w:t>（三）</w:t>
      </w:r>
      <w:r>
        <w:rPr>
          <w:rFonts w:hint="default" w:ascii="Times New Roman" w:hAnsi="Times New Roman" w:eastAsia="楷体_GB2312" w:cs="Times New Roman"/>
          <w:kern w:val="0"/>
          <w:sz w:val="32"/>
          <w:szCs w:val="32"/>
          <w:lang w:val="en-US" w:eastAsia="zh-CN" w:bidi="ar"/>
        </w:rPr>
        <w:t>其他</w:t>
      </w:r>
      <w:r>
        <w:rPr>
          <w:rFonts w:hint="default" w:ascii="Times New Roman" w:hAnsi="Times New Roman" w:eastAsia="楷体_GB2312" w:cs="Times New Roman"/>
          <w:szCs w:val="32"/>
        </w:rPr>
        <w:t>方面：</w:t>
      </w:r>
      <w:r>
        <w:rPr>
          <w:rFonts w:hint="default" w:ascii="Times New Roman" w:hAnsi="Times New Roman" w:cs="Times New Roman"/>
          <w:lang w:val="en-US" w:eastAsia="zh-CN"/>
        </w:rPr>
        <w:t>2023年，区综合行政执法局</w:t>
      </w:r>
      <w:r>
        <w:rPr>
          <w:rFonts w:hint="eastAsia" w:cs="Times New Roman"/>
          <w:lang w:val="en-US" w:eastAsia="zh-CN"/>
        </w:rPr>
        <w:t>严格落实上级政务公开工作要点，进一步明确了重点领域政府信息公开具体内容。以文登区人民政府门户网站为载体，</w:t>
      </w:r>
      <w:r>
        <w:rPr>
          <w:rFonts w:hint="default" w:ascii="Times New Roman" w:hAnsi="Times New Roman" w:cs="Times New Roman"/>
          <w:lang w:val="en-US" w:eastAsia="zh-CN"/>
        </w:rPr>
        <w:t>积极改进和创新政务公开工作方式方法，</w:t>
      </w:r>
      <w:r>
        <w:rPr>
          <w:rFonts w:hint="eastAsia" w:cs="Times New Roman"/>
          <w:lang w:val="en-US" w:eastAsia="zh-CN"/>
        </w:rPr>
        <w:t>主动公开组织机构、工作动态、政策文件及解读、财政预决算信息等相关信息。同时</w:t>
      </w:r>
      <w:r>
        <w:rPr>
          <w:rFonts w:hint="default" w:ascii="Times New Roman" w:hAnsi="Times New Roman" w:cs="Times New Roman"/>
          <w:lang w:val="en-US" w:eastAsia="zh-CN"/>
        </w:rPr>
        <w:t>以社会关注度高的政府信息作为突破口，通过</w:t>
      </w:r>
      <w:r>
        <w:rPr>
          <w:rFonts w:hint="eastAsia" w:cs="Times New Roman"/>
          <w:lang w:val="en-US" w:eastAsia="zh-CN"/>
        </w:rPr>
        <w:t>“</w:t>
      </w:r>
      <w:r>
        <w:rPr>
          <w:rFonts w:hint="default" w:ascii="Times New Roman" w:hAnsi="Times New Roman" w:cs="Times New Roman"/>
          <w:lang w:val="en-US" w:eastAsia="zh-CN"/>
        </w:rPr>
        <w:t>文登区综合行政执法局</w:t>
      </w:r>
      <w:r>
        <w:rPr>
          <w:rFonts w:hint="eastAsia" w:cs="Times New Roman"/>
          <w:lang w:val="en-US" w:eastAsia="zh-CN"/>
        </w:rPr>
        <w:t>”</w:t>
      </w:r>
      <w:r>
        <w:rPr>
          <w:rFonts w:hint="default" w:ascii="Times New Roman" w:hAnsi="Times New Roman" w:cs="Times New Roman"/>
          <w:lang w:val="en-US" w:eastAsia="zh-CN"/>
        </w:rPr>
        <w:t>微信公众号发布系列解决群众</w:t>
      </w:r>
      <w:r>
        <w:rPr>
          <w:rFonts w:hint="eastAsia" w:cs="Times New Roman"/>
          <w:lang w:val="en-US" w:eastAsia="zh-CN"/>
        </w:rPr>
        <w:t>“</w:t>
      </w:r>
      <w:r>
        <w:rPr>
          <w:rFonts w:hint="default" w:ascii="Times New Roman" w:hAnsi="Times New Roman" w:cs="Times New Roman"/>
          <w:lang w:val="en-US" w:eastAsia="zh-CN"/>
        </w:rPr>
        <w:t>急难愁盼</w:t>
      </w:r>
      <w:r>
        <w:rPr>
          <w:rFonts w:hint="eastAsia" w:cs="Times New Roman"/>
          <w:lang w:val="en-US" w:eastAsia="zh-CN"/>
        </w:rPr>
        <w:t>”</w:t>
      </w:r>
      <w:r>
        <w:rPr>
          <w:rFonts w:hint="default" w:ascii="Times New Roman" w:hAnsi="Times New Roman" w:cs="Times New Roman"/>
          <w:lang w:val="en-US" w:eastAsia="zh-CN"/>
        </w:rPr>
        <w:t>问题典型案例，其中优秀案例被</w:t>
      </w:r>
      <w:r>
        <w:rPr>
          <w:rFonts w:hint="eastAsia" w:cs="Times New Roman"/>
          <w:lang w:val="en-US" w:eastAsia="zh-CN"/>
        </w:rPr>
        <w:t>“</w:t>
      </w:r>
      <w:r>
        <w:rPr>
          <w:rFonts w:hint="default" w:ascii="Times New Roman" w:hAnsi="Times New Roman" w:cs="Times New Roman"/>
          <w:lang w:val="en-US" w:eastAsia="zh-CN"/>
        </w:rPr>
        <w:t>文登政务热线</w:t>
      </w:r>
      <w:r>
        <w:rPr>
          <w:rFonts w:hint="eastAsia" w:cs="Times New Roman"/>
          <w:lang w:val="en-US" w:eastAsia="zh-CN"/>
        </w:rPr>
        <w:t>”</w:t>
      </w:r>
      <w:r>
        <w:rPr>
          <w:rFonts w:hint="default" w:ascii="Times New Roman" w:hAnsi="Times New Roman" w:cs="Times New Roman"/>
          <w:lang w:val="en-US" w:eastAsia="zh-CN"/>
        </w:rPr>
        <w:t>微信公众号选登。</w:t>
      </w:r>
    </w:p>
    <w:p>
      <w:pPr>
        <w:bidi w:val="0"/>
        <w:rPr>
          <w:rFonts w:hint="default"/>
          <w:lang w:val="en-US" w:eastAsia="zh-CN"/>
        </w:rPr>
      </w:pPr>
    </w:p>
    <w:p>
      <w:pPr>
        <w:bidi w:val="0"/>
        <w:rPr>
          <w:rFonts w:hint="default"/>
          <w:lang w:val="en-US" w:eastAsia="zh-CN"/>
        </w:rPr>
      </w:pPr>
    </w:p>
    <w:p>
      <w:pPr>
        <w:pStyle w:val="2"/>
        <w:keepNext w:val="0"/>
        <w:keepLines w:val="0"/>
        <w:pageBreakBefore w:val="0"/>
        <w:kinsoku/>
        <w:wordWrap/>
        <w:overflowPunct/>
        <w:topLinePunct w:val="0"/>
        <w:bidi w:val="0"/>
        <w:snapToGrid/>
        <w:spacing w:line="560" w:lineRule="exact"/>
        <w:ind w:left="0" w:leftChars="0" w:right="0" w:rightChars="0" w:firstLine="0" w:firstLineChars="0"/>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威海市文登区综合行政执法局</w:t>
      </w:r>
    </w:p>
    <w:p>
      <w:pPr>
        <w:pStyle w:val="2"/>
        <w:keepNext w:val="0"/>
        <w:keepLines w:val="0"/>
        <w:pageBreakBefore w:val="0"/>
        <w:kinsoku/>
        <w:wordWrap w:val="0"/>
        <w:overflowPunct/>
        <w:topLinePunct w:val="0"/>
        <w:bidi w:val="0"/>
        <w:snapToGrid/>
        <w:spacing w:line="560" w:lineRule="exact"/>
        <w:ind w:left="0" w:leftChars="0" w:right="0" w:rightChars="0" w:firstLine="0" w:firstLineChars="0"/>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2024年1月</w:t>
      </w:r>
      <w:r>
        <w:rPr>
          <w:rFonts w:hint="eastAsia"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lang w:val="en-US" w:eastAsia="zh-CN"/>
        </w:rPr>
        <w:t xml:space="preserve">日      </w:t>
      </w:r>
    </w:p>
    <w:sectPr>
      <w:pgSz w:w="11906" w:h="16838"/>
      <w:pgMar w:top="1984" w:right="1531" w:bottom="1871" w:left="1531"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c4YzE4Y2NmZDJlNTY3Njk4N2ViZWJkZDI3OTc2YzUifQ=="/>
  </w:docVars>
  <w:rsids>
    <w:rsidRoot w:val="11AF18C8"/>
    <w:rsid w:val="00D074CA"/>
    <w:rsid w:val="00EB1C0E"/>
    <w:rsid w:val="019329D2"/>
    <w:rsid w:val="0458580D"/>
    <w:rsid w:val="08D157AC"/>
    <w:rsid w:val="0A33449E"/>
    <w:rsid w:val="0C0F534B"/>
    <w:rsid w:val="0D5A3541"/>
    <w:rsid w:val="1045133B"/>
    <w:rsid w:val="10C83D1A"/>
    <w:rsid w:val="11AF18C8"/>
    <w:rsid w:val="121D4B80"/>
    <w:rsid w:val="12FC174E"/>
    <w:rsid w:val="14C52F66"/>
    <w:rsid w:val="14CF02C4"/>
    <w:rsid w:val="1A6A77C7"/>
    <w:rsid w:val="1C314E69"/>
    <w:rsid w:val="1F5A0233"/>
    <w:rsid w:val="21E9640B"/>
    <w:rsid w:val="293B4729"/>
    <w:rsid w:val="2C5D7468"/>
    <w:rsid w:val="31231971"/>
    <w:rsid w:val="31402515"/>
    <w:rsid w:val="3297082A"/>
    <w:rsid w:val="351729F7"/>
    <w:rsid w:val="396C0D1F"/>
    <w:rsid w:val="3B5E2A01"/>
    <w:rsid w:val="3DCF2C8F"/>
    <w:rsid w:val="443F7A85"/>
    <w:rsid w:val="464F74E8"/>
    <w:rsid w:val="47EB2498"/>
    <w:rsid w:val="4C196BFC"/>
    <w:rsid w:val="4C407D01"/>
    <w:rsid w:val="4D270F6A"/>
    <w:rsid w:val="50B5727E"/>
    <w:rsid w:val="511E6463"/>
    <w:rsid w:val="5382777D"/>
    <w:rsid w:val="54F23AC6"/>
    <w:rsid w:val="56F344A5"/>
    <w:rsid w:val="5A555D4C"/>
    <w:rsid w:val="5F3BB135"/>
    <w:rsid w:val="68664B20"/>
    <w:rsid w:val="68C9088B"/>
    <w:rsid w:val="6C007A3F"/>
    <w:rsid w:val="6C7C7FF0"/>
    <w:rsid w:val="6CCE5731"/>
    <w:rsid w:val="708F6BB3"/>
    <w:rsid w:val="71E41502"/>
    <w:rsid w:val="77181135"/>
    <w:rsid w:val="789369EE"/>
    <w:rsid w:val="792627D5"/>
    <w:rsid w:val="79D7762B"/>
    <w:rsid w:val="7E2277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spacing w:line="560" w:lineRule="exact"/>
      <w:ind w:firstLine="880" w:firstLineChars="200"/>
      <w:jc w:val="both"/>
    </w:pPr>
    <w:rPr>
      <w:rFonts w:ascii="Times New Roman" w:hAnsi="Times New Roman" w:eastAsia="仿宋_GB2312" w:cstheme="minorBidi"/>
      <w:kern w:val="2"/>
      <w:sz w:val="32"/>
      <w:szCs w:val="22"/>
      <w:lang w:val="en-US" w:eastAsia="zh-CN" w:bidi="ar-SA"/>
    </w:rPr>
  </w:style>
  <w:style w:type="paragraph" w:styleId="3">
    <w:name w:val="heading 1"/>
    <w:basedOn w:val="1"/>
    <w:next w:val="1"/>
    <w:autoRedefine/>
    <w:qFormat/>
    <w:uiPriority w:val="0"/>
    <w:pPr>
      <w:keepNext/>
      <w:keepLines/>
      <w:spacing w:line="560" w:lineRule="exact"/>
      <w:ind w:firstLine="0" w:firstLineChars="0"/>
      <w:jc w:val="center"/>
      <w:outlineLvl w:val="0"/>
    </w:pPr>
    <w:rPr>
      <w:rFonts w:ascii="Times New Roman" w:hAnsi="Times New Roman" w:eastAsia="方正小标宋简体"/>
      <w:kern w:val="44"/>
      <w:sz w:val="44"/>
      <w:szCs w:val="44"/>
    </w:rPr>
  </w:style>
  <w:style w:type="paragraph" w:styleId="4">
    <w:name w:val="heading 2"/>
    <w:basedOn w:val="1"/>
    <w:next w:val="1"/>
    <w:autoRedefine/>
    <w:unhideWhenUsed/>
    <w:qFormat/>
    <w:uiPriority w:val="0"/>
    <w:pPr>
      <w:spacing w:before="0" w:beforeAutospacing="0" w:after="0" w:afterAutospacing="0" w:line="560" w:lineRule="exact"/>
      <w:ind w:firstLine="640" w:firstLineChars="200"/>
      <w:jc w:val="left"/>
      <w:outlineLvl w:val="1"/>
    </w:pPr>
    <w:rPr>
      <w:rFonts w:hint="eastAsia" w:ascii="Times New Roman" w:hAnsi="Times New Roman" w:eastAsia="黑体" w:cs="宋体"/>
      <w:bCs/>
      <w:kern w:val="0"/>
      <w:sz w:val="32"/>
      <w:szCs w:val="36"/>
      <w:lang w:bidi="ar"/>
    </w:rPr>
  </w:style>
  <w:style w:type="paragraph" w:styleId="5">
    <w:name w:val="heading 3"/>
    <w:basedOn w:val="1"/>
    <w:next w:val="1"/>
    <w:link w:val="11"/>
    <w:autoRedefine/>
    <w:semiHidden/>
    <w:unhideWhenUsed/>
    <w:qFormat/>
    <w:uiPriority w:val="0"/>
    <w:pPr>
      <w:keepNext/>
      <w:keepLines/>
      <w:spacing w:beforeLines="0" w:beforeAutospacing="0" w:afterLines="0" w:afterAutospacing="0" w:line="560" w:lineRule="exact"/>
      <w:ind w:firstLine="880" w:firstLineChars="200"/>
      <w:outlineLvl w:val="2"/>
    </w:pPr>
    <w:rPr>
      <w:rFonts w:ascii="Times New Roman" w:hAnsi="Times New Roman" w:eastAsia="楷体_GB2312" w:cs="方正小标宋简体"/>
      <w:szCs w:val="44"/>
    </w:rPr>
  </w:style>
  <w:style w:type="character" w:default="1" w:styleId="8">
    <w:name w:val="Default Paragraph Font"/>
    <w:autoRedefine/>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customStyle="1" w:styleId="2">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6">
    <w:name w:val="Normal (Web)"/>
    <w:basedOn w:val="1"/>
    <w:autoRedefine/>
    <w:qFormat/>
    <w:uiPriority w:val="0"/>
    <w:pPr>
      <w:spacing w:before="0" w:beforeAutospacing="1" w:after="0" w:afterAutospacing="1"/>
      <w:ind w:left="0" w:right="0"/>
      <w:jc w:val="left"/>
    </w:pPr>
    <w:rPr>
      <w:kern w:val="0"/>
      <w:sz w:val="24"/>
      <w:lang w:val="en-US" w:eastAsia="zh-CN" w:bidi="ar"/>
    </w:rPr>
  </w:style>
  <w:style w:type="character" w:styleId="9">
    <w:name w:val="Emphasis"/>
    <w:basedOn w:val="8"/>
    <w:autoRedefine/>
    <w:qFormat/>
    <w:uiPriority w:val="0"/>
    <w:rPr>
      <w:i/>
    </w:rPr>
  </w:style>
  <w:style w:type="character" w:styleId="10">
    <w:name w:val="Hyperlink"/>
    <w:basedOn w:val="8"/>
    <w:autoRedefine/>
    <w:qFormat/>
    <w:uiPriority w:val="0"/>
    <w:rPr>
      <w:color w:val="0000FF"/>
      <w:u w:val="single"/>
    </w:rPr>
  </w:style>
  <w:style w:type="character" w:customStyle="1" w:styleId="11">
    <w:name w:val="标题 3 Char"/>
    <w:link w:val="5"/>
    <w:autoRedefine/>
    <w:qFormat/>
    <w:uiPriority w:val="0"/>
    <w:rPr>
      <w:rFonts w:ascii="Times New Roman" w:hAnsi="Times New Roman" w:eastAsia="楷体_GB2312" w:cs="方正小标宋简体"/>
      <w:szCs w:val="4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2733</Words>
  <Characters>2840</Characters>
  <Lines>0</Lines>
  <Paragraphs>0</Paragraphs>
  <TotalTime>131</TotalTime>
  <ScaleCrop>false</ScaleCrop>
  <LinksUpToDate>false</LinksUpToDate>
  <CharactersWithSpaces>2847</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凌</cp:lastModifiedBy>
  <cp:lastPrinted>2024-01-12T01:41:00Z</cp:lastPrinted>
  <dcterms:modified xsi:type="dcterms:W3CDTF">2024-01-23T06:39:45Z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9330546C41FC4EFDAF434AB28C3CD121_13</vt:lpwstr>
  </property>
</Properties>
</file>