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1000" w:lineRule="exact"/>
        <w:jc w:val="center"/>
        <w:textAlignment w:val="auto"/>
        <w:rPr>
          <w:rFonts w:hint="default" w:ascii="Times New Roman" w:hAnsi="Times New Roman" w:eastAsia="方正小标宋简体" w:cs="Times New Roman"/>
          <w:sz w:val="44"/>
          <w:szCs w:val="44"/>
        </w:rPr>
      </w:pPr>
    </w:p>
    <w:p>
      <w:pPr>
        <w:keepNext w:val="0"/>
        <w:keepLines w:val="0"/>
        <w:pageBreakBefore w:val="0"/>
        <w:widowControl w:val="0"/>
        <w:kinsoku/>
        <w:wordWrap/>
        <w:overflowPunct/>
        <w:topLinePunct w:val="0"/>
        <w:autoSpaceDE/>
        <w:autoSpaceDN/>
        <w:bidi w:val="0"/>
        <w:adjustRightInd/>
        <w:snapToGrid/>
        <w:spacing w:line="540" w:lineRule="exact"/>
        <w:jc w:val="center"/>
        <w:textAlignment w:val="auto"/>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威海市文登区环山街道办事处</w:t>
      </w:r>
    </w:p>
    <w:p>
      <w:pPr>
        <w:keepNext w:val="0"/>
        <w:keepLines w:val="0"/>
        <w:pageBreakBefore w:val="0"/>
        <w:widowControl w:val="0"/>
        <w:kinsoku/>
        <w:wordWrap/>
        <w:overflowPunct/>
        <w:topLinePunct w:val="0"/>
        <w:autoSpaceDE/>
        <w:autoSpaceDN/>
        <w:bidi w:val="0"/>
        <w:adjustRightInd/>
        <w:snapToGrid/>
        <w:spacing w:line="540" w:lineRule="exact"/>
        <w:jc w:val="center"/>
        <w:textAlignment w:val="auto"/>
        <w:rPr>
          <w:rFonts w:hint="default" w:ascii="Times New Roman" w:hAnsi="Times New Roman" w:eastAsia="方正小标宋简体" w:cs="Times New Roman"/>
          <w:sz w:val="44"/>
          <w:szCs w:val="44"/>
        </w:rPr>
      </w:pPr>
      <w:bookmarkStart w:id="0" w:name="_GoBack"/>
      <w:r>
        <w:rPr>
          <w:rFonts w:hint="default" w:ascii="Times New Roman" w:hAnsi="Times New Roman" w:eastAsia="方正小标宋简体" w:cs="Times New Roman"/>
          <w:sz w:val="44"/>
          <w:szCs w:val="44"/>
        </w:rPr>
        <w:t>2020年政府信息公开工作年度报告</w:t>
      </w:r>
    </w:p>
    <w:bookmarkEnd w:id="0"/>
    <w:p>
      <w:pPr>
        <w:keepNext w:val="0"/>
        <w:keepLines w:val="0"/>
        <w:pageBreakBefore w:val="0"/>
        <w:widowControl w:val="0"/>
        <w:kinsoku/>
        <w:wordWrap/>
        <w:overflowPunct/>
        <w:topLinePunct w:val="0"/>
        <w:autoSpaceDE/>
        <w:autoSpaceDN/>
        <w:bidi w:val="0"/>
        <w:adjustRightInd/>
        <w:snapToGrid/>
        <w:spacing w:line="540" w:lineRule="exact"/>
        <w:jc w:val="center"/>
        <w:textAlignment w:val="auto"/>
        <w:rPr>
          <w:rFonts w:hint="default" w:ascii="Times New Roman" w:hAnsi="Times New Roman" w:eastAsia="方正小标宋简体" w:cs="Times New Roman"/>
          <w:sz w:val="44"/>
          <w:szCs w:val="44"/>
        </w:rPr>
      </w:pP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exact"/>
        <w:ind w:left="0" w:right="0" w:firstLine="640" w:firstLineChars="200"/>
        <w:textAlignment w:val="auto"/>
        <w:rPr>
          <w:rFonts w:hint="default" w:ascii="Times New Roman" w:hAnsi="Times New Roman" w:eastAsia="仿宋_GB2312" w:cs="Times New Roman"/>
          <w:i w:val="0"/>
          <w:iCs w:val="0"/>
          <w:caps w:val="0"/>
          <w:color w:val="000000"/>
          <w:spacing w:val="0"/>
          <w:sz w:val="32"/>
          <w:szCs w:val="32"/>
        </w:rPr>
      </w:pPr>
      <w:r>
        <w:rPr>
          <w:rFonts w:hint="default" w:ascii="Times New Roman" w:hAnsi="Times New Roman" w:eastAsia="仿宋_GB2312" w:cs="Times New Roman"/>
          <w:i w:val="0"/>
          <w:iCs w:val="0"/>
          <w:caps w:val="0"/>
          <w:color w:val="000000"/>
          <w:spacing w:val="0"/>
          <w:sz w:val="32"/>
          <w:szCs w:val="32"/>
          <w:bdr w:val="none" w:color="auto" w:sz="0" w:space="0"/>
        </w:rPr>
        <w:t>根据《中华人民共和国政府信息公开条例》要求，结合工作实际，威海市文登区环山街道办事处制作并公开《威海市文登区环山街道办事处2020年政府信息公开工作年度报告》。</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exact"/>
        <w:ind w:left="0" w:right="0" w:firstLine="640" w:firstLineChars="200"/>
        <w:textAlignment w:val="auto"/>
        <w:rPr>
          <w:rFonts w:hint="default" w:ascii="Times New Roman" w:hAnsi="Times New Roman" w:eastAsia="仿宋_GB2312" w:cs="Times New Roman"/>
          <w:i w:val="0"/>
          <w:iCs w:val="0"/>
          <w:caps w:val="0"/>
          <w:color w:val="000000"/>
          <w:spacing w:val="0"/>
          <w:sz w:val="32"/>
          <w:szCs w:val="32"/>
        </w:rPr>
      </w:pPr>
      <w:r>
        <w:rPr>
          <w:rFonts w:hint="default" w:ascii="Times New Roman" w:hAnsi="Times New Roman" w:eastAsia="仿宋_GB2312" w:cs="Times New Roman"/>
          <w:i w:val="0"/>
          <w:iCs w:val="0"/>
          <w:caps w:val="0"/>
          <w:color w:val="000000"/>
          <w:spacing w:val="0"/>
          <w:sz w:val="32"/>
          <w:szCs w:val="32"/>
          <w:bdr w:val="none" w:color="auto" w:sz="0" w:space="0"/>
        </w:rPr>
        <w:t>本报告由概述，政府信息公开的组织领导和制度建设情况，主动公开政府信息及公开平台情况，政府信息公开申请的办理情况，政府信息公开行政收费及减免情况，因政府信息公开申请行政复议、行政诉讼的情况，政府信息公开保密审查及监督检查情况，政府信息公开中存在的问题及改进情况等八部分组成。</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exact"/>
        <w:ind w:left="0" w:right="0" w:firstLine="640" w:firstLineChars="200"/>
        <w:textAlignment w:val="auto"/>
        <w:rPr>
          <w:rFonts w:hint="default" w:ascii="Times New Roman" w:hAnsi="Times New Roman" w:eastAsia="仿宋_GB2312" w:cs="Times New Roman"/>
          <w:i w:val="0"/>
          <w:iCs w:val="0"/>
          <w:caps w:val="0"/>
          <w:color w:val="000000"/>
          <w:spacing w:val="0"/>
          <w:sz w:val="32"/>
          <w:szCs w:val="32"/>
        </w:rPr>
      </w:pPr>
      <w:r>
        <w:rPr>
          <w:rFonts w:hint="default" w:ascii="Times New Roman" w:hAnsi="Times New Roman" w:eastAsia="仿宋_GB2312" w:cs="Times New Roman"/>
          <w:i w:val="0"/>
          <w:iCs w:val="0"/>
          <w:caps w:val="0"/>
          <w:color w:val="000000"/>
          <w:spacing w:val="0"/>
          <w:sz w:val="32"/>
          <w:szCs w:val="32"/>
          <w:bdr w:val="none" w:color="auto" w:sz="0" w:space="0"/>
        </w:rPr>
        <w:t>本报告中所列数据的统计时限自2020年1月1日起至2020年12月31日止。本报告的电子版可在威海市文登区人民政府门户网站信息公开专栏查阅。如对本报告有疑问，请与威海市文登区环山街道办事处联系（地址：威海市文登区米山路122号，邮编：264400，电话：0631-8188038）。</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exact"/>
        <w:ind w:left="0" w:right="0" w:firstLine="640" w:firstLineChars="200"/>
        <w:textAlignment w:val="auto"/>
        <w:rPr>
          <w:rFonts w:hint="eastAsia" w:ascii="黑体" w:hAnsi="黑体" w:eastAsia="黑体" w:cs="黑体"/>
          <w:i w:val="0"/>
          <w:iCs w:val="0"/>
          <w:caps w:val="0"/>
          <w:color w:val="000000"/>
          <w:spacing w:val="0"/>
          <w:sz w:val="32"/>
          <w:szCs w:val="32"/>
        </w:rPr>
      </w:pPr>
      <w:r>
        <w:rPr>
          <w:rFonts w:hint="eastAsia" w:ascii="黑体" w:hAnsi="黑体" w:eastAsia="黑体" w:cs="黑体"/>
          <w:i w:val="0"/>
          <w:iCs w:val="0"/>
          <w:caps w:val="0"/>
          <w:color w:val="000000"/>
          <w:spacing w:val="0"/>
          <w:sz w:val="32"/>
          <w:szCs w:val="32"/>
          <w:bdr w:val="none" w:color="auto" w:sz="0" w:space="0"/>
        </w:rPr>
        <w:t>一、总体情况</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exact"/>
        <w:ind w:left="0" w:right="0" w:firstLine="640" w:firstLineChars="200"/>
        <w:textAlignment w:val="auto"/>
        <w:rPr>
          <w:rFonts w:hint="default" w:ascii="Times New Roman" w:hAnsi="Times New Roman" w:eastAsia="仿宋_GB2312" w:cs="Times New Roman"/>
          <w:i w:val="0"/>
          <w:iCs w:val="0"/>
          <w:caps w:val="0"/>
          <w:color w:val="000000"/>
          <w:spacing w:val="0"/>
          <w:sz w:val="32"/>
          <w:szCs w:val="32"/>
        </w:rPr>
      </w:pPr>
      <w:r>
        <w:rPr>
          <w:rFonts w:hint="default" w:ascii="Times New Roman" w:hAnsi="Times New Roman" w:eastAsia="仿宋_GB2312" w:cs="Times New Roman"/>
          <w:i w:val="0"/>
          <w:iCs w:val="0"/>
          <w:caps w:val="0"/>
          <w:color w:val="000000"/>
          <w:spacing w:val="0"/>
          <w:sz w:val="32"/>
          <w:szCs w:val="32"/>
          <w:bdr w:val="none" w:color="auto" w:sz="0" w:space="0"/>
        </w:rPr>
        <w:t>2020年，环山街道办事处认真贯彻落实《条例》和《办法》，政府信息公开工作取得重要进展。在政府信息公开渠道拓展上，依托互联网和业务办事大厅，建立和完善了信息发布与政府信息公开一体的服务平台；在政府信息公开方面，将主动公开与群众咨询公开相结合，不断提高办事处行政透明度和办事效率；在制度建设上，继续完善各种规章制度，依法、按时公开各种政府信息，促进政府机关依法行政，全面接受社会监督。全年，通过文登区人民政府门户网站政府信息公开专栏和新闻媒体、公告栏等多种形式，发布各类法律法规、办事指南等服务信息，及时、全面、有效地主动公开政府信息，积极受理和回复政府信息公开申请，为公众提供了较好的政府信息公开服务。领导高度重视信息公开工作，成立了办事处信息公开领导小组，严格落实各单位的职能职责，各单位分别指定专人负责信息公开工作，形成一级抓一级、层层抓落实的局面，保证了2020年信息公开工作的有序推进，并取得较好成绩。完善依申请公开、限时公开、申请受理、考核监督、保密审查、社会评议、责任追究等工作机制，进一步规范工作流程和工作标准，确保办事处信息公开工作安全、有效、有序进行。</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exact"/>
        <w:ind w:left="0" w:right="0" w:firstLine="640" w:firstLineChars="200"/>
        <w:textAlignment w:val="auto"/>
        <w:rPr>
          <w:rFonts w:hint="default" w:ascii="Times New Roman" w:hAnsi="Times New Roman" w:eastAsia="仿宋_GB2312" w:cs="Times New Roman"/>
          <w:i w:val="0"/>
          <w:iCs w:val="0"/>
          <w:caps w:val="0"/>
          <w:color w:val="000000"/>
          <w:spacing w:val="0"/>
          <w:sz w:val="32"/>
          <w:szCs w:val="32"/>
        </w:rPr>
      </w:pPr>
      <w:r>
        <w:rPr>
          <w:rFonts w:hint="default" w:ascii="Times New Roman" w:hAnsi="Times New Roman" w:eastAsia="仿宋_GB2312" w:cs="Times New Roman"/>
          <w:i w:val="0"/>
          <w:iCs w:val="0"/>
          <w:caps w:val="0"/>
          <w:color w:val="000000"/>
          <w:spacing w:val="0"/>
          <w:sz w:val="32"/>
          <w:szCs w:val="32"/>
          <w:bdr w:val="none" w:color="auto" w:sz="0" w:space="0"/>
        </w:rPr>
        <w:t>按照“公开为原则，不公开为例外”的总体要求，妥善处理好公开与保密的关系，积极稳健地做好信息公开工作。已公开的信息未涉及国家秘密、商业秘密和个人隐私。主动公开的政府信息主要有：一是机构设置，包括机构设置、领导分工等信息；二是及时公开相关政策法规，包括政策解读；三是人事任免；四是三规划计划；五是业务工作；六是年度报告；七是公告信息。</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exact"/>
        <w:ind w:left="0" w:right="0" w:firstLine="640" w:firstLineChars="200"/>
        <w:textAlignment w:val="auto"/>
        <w:rPr>
          <w:rFonts w:hint="default" w:ascii="Times New Roman" w:hAnsi="Times New Roman" w:eastAsia="仿宋_GB2312" w:cs="Times New Roman"/>
          <w:i w:val="0"/>
          <w:iCs w:val="0"/>
          <w:caps w:val="0"/>
          <w:color w:val="000000"/>
          <w:spacing w:val="0"/>
          <w:sz w:val="32"/>
          <w:szCs w:val="32"/>
        </w:rPr>
      </w:pPr>
      <w:r>
        <w:rPr>
          <w:rFonts w:hint="default" w:ascii="Times New Roman" w:hAnsi="Times New Roman" w:eastAsia="仿宋_GB2312" w:cs="Times New Roman"/>
          <w:i w:val="0"/>
          <w:iCs w:val="0"/>
          <w:caps w:val="0"/>
          <w:color w:val="000000"/>
          <w:spacing w:val="0"/>
          <w:sz w:val="32"/>
          <w:szCs w:val="32"/>
          <w:bdr w:val="none" w:color="auto" w:sz="0" w:space="0"/>
        </w:rPr>
        <w:t>2020年，环山街道办事处共主动公开信息68条。从内容分类看，公示公告3条，人事信息1条，工作动态40条，政策文件2条，政策解读2条，信息公开指南1条，财政信息6条，行政执法公示9条，政务公开组织推进3条，决策公开1条，年度报告1条。今年，没有收到人大代表建议和政协委员提案办理件。</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exact"/>
        <w:ind w:left="0" w:right="0" w:firstLine="640" w:firstLineChars="200"/>
        <w:textAlignment w:val="auto"/>
        <w:rPr>
          <w:rFonts w:hint="eastAsia" w:ascii="黑体" w:hAnsi="黑体" w:eastAsia="黑体" w:cs="黑体"/>
          <w:i w:val="0"/>
          <w:iCs w:val="0"/>
          <w:caps w:val="0"/>
          <w:color w:val="000000"/>
          <w:spacing w:val="0"/>
          <w:sz w:val="32"/>
          <w:szCs w:val="32"/>
        </w:rPr>
      </w:pPr>
      <w:r>
        <w:rPr>
          <w:rFonts w:hint="eastAsia" w:ascii="黑体" w:hAnsi="黑体" w:eastAsia="黑体" w:cs="黑体"/>
          <w:i w:val="0"/>
          <w:iCs w:val="0"/>
          <w:caps w:val="0"/>
          <w:color w:val="000000"/>
          <w:spacing w:val="0"/>
          <w:sz w:val="32"/>
          <w:szCs w:val="32"/>
          <w:bdr w:val="none" w:color="auto" w:sz="0" w:space="0"/>
        </w:rPr>
        <w:t>二、主动公开政府信息情况</w:t>
      </w:r>
    </w:p>
    <w:tbl>
      <w:tblPr>
        <w:tblW w:w="8145" w:type="dxa"/>
        <w:jc w:val="center"/>
        <w:shd w:val="clear"/>
        <w:tblLayout w:type="autofit"/>
        <w:tblCellMar>
          <w:top w:w="15" w:type="dxa"/>
          <w:left w:w="15" w:type="dxa"/>
          <w:bottom w:w="15" w:type="dxa"/>
          <w:right w:w="15" w:type="dxa"/>
        </w:tblCellMar>
      </w:tblPr>
      <w:tblGrid>
        <w:gridCol w:w="3120"/>
        <w:gridCol w:w="1875"/>
        <w:gridCol w:w="1275"/>
        <w:gridCol w:w="1875"/>
      </w:tblGrid>
      <w:tr>
        <w:tblPrEx>
          <w:shd w:val="clear"/>
          <w:tblCellMar>
            <w:top w:w="15" w:type="dxa"/>
            <w:left w:w="15" w:type="dxa"/>
            <w:bottom w:w="15" w:type="dxa"/>
            <w:right w:w="15" w:type="dxa"/>
          </w:tblCellMar>
        </w:tblPrEx>
        <w:trPr>
          <w:trHeight w:val="510" w:hRule="atLeast"/>
          <w:jc w:val="center"/>
        </w:trPr>
        <w:tc>
          <w:tcPr>
            <w:tcW w:w="8145" w:type="dxa"/>
            <w:gridSpan w:val="4"/>
            <w:tcBorders>
              <w:top w:val="single" w:color="auto" w:sz="6" w:space="0"/>
              <w:left w:val="single" w:color="auto" w:sz="6" w:space="0"/>
              <w:bottom w:val="single" w:color="auto" w:sz="6" w:space="0"/>
              <w:right w:val="single" w:color="auto" w:sz="6" w:space="0"/>
            </w:tcBorders>
            <w:shd w:val="clear" w:color="auto" w:fill="C6D9F1"/>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第二十条第（一）项</w:t>
            </w:r>
          </w:p>
        </w:tc>
      </w:tr>
      <w:tr>
        <w:tblPrEx>
          <w:tblCellMar>
            <w:top w:w="15" w:type="dxa"/>
            <w:left w:w="15" w:type="dxa"/>
            <w:bottom w:w="15" w:type="dxa"/>
            <w:right w:w="15" w:type="dxa"/>
          </w:tblCellMar>
        </w:tblPrEx>
        <w:trPr>
          <w:trHeight w:val="915" w:hRule="atLeast"/>
          <w:jc w:val="center"/>
        </w:trPr>
        <w:tc>
          <w:tcPr>
            <w:tcW w:w="3120" w:type="dxa"/>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信息内容</w:t>
            </w:r>
          </w:p>
        </w:tc>
        <w:tc>
          <w:tcPr>
            <w:tcW w:w="18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本年新</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制作数量</w:t>
            </w:r>
          </w:p>
        </w:tc>
        <w:tc>
          <w:tcPr>
            <w:tcW w:w="12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本年新</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公开数量</w:t>
            </w:r>
          </w:p>
        </w:tc>
        <w:tc>
          <w:tcPr>
            <w:tcW w:w="18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对外公开总数量</w:t>
            </w:r>
          </w:p>
        </w:tc>
      </w:tr>
      <w:tr>
        <w:tblPrEx>
          <w:tblCellMar>
            <w:top w:w="15" w:type="dxa"/>
            <w:left w:w="15" w:type="dxa"/>
            <w:bottom w:w="15" w:type="dxa"/>
            <w:right w:w="15" w:type="dxa"/>
          </w:tblCellMar>
        </w:tblPrEx>
        <w:trPr>
          <w:trHeight w:val="540" w:hRule="atLeast"/>
          <w:jc w:val="center"/>
        </w:trPr>
        <w:tc>
          <w:tcPr>
            <w:tcW w:w="3120" w:type="dxa"/>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规章</w:t>
            </w:r>
          </w:p>
        </w:tc>
        <w:tc>
          <w:tcPr>
            <w:tcW w:w="18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12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18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r>
      <w:tr>
        <w:tblPrEx>
          <w:tblCellMar>
            <w:top w:w="15" w:type="dxa"/>
            <w:left w:w="15" w:type="dxa"/>
            <w:bottom w:w="15" w:type="dxa"/>
            <w:right w:w="15" w:type="dxa"/>
          </w:tblCellMar>
        </w:tblPrEx>
        <w:trPr>
          <w:trHeight w:val="480" w:hRule="atLeast"/>
          <w:jc w:val="center"/>
        </w:trPr>
        <w:tc>
          <w:tcPr>
            <w:tcW w:w="3120" w:type="dxa"/>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规范性文件</w:t>
            </w:r>
          </w:p>
        </w:tc>
        <w:tc>
          <w:tcPr>
            <w:tcW w:w="18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12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18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r>
      <w:tr>
        <w:tblPrEx>
          <w:tblCellMar>
            <w:top w:w="15" w:type="dxa"/>
            <w:left w:w="15" w:type="dxa"/>
            <w:bottom w:w="15" w:type="dxa"/>
            <w:right w:w="15" w:type="dxa"/>
          </w:tblCellMar>
        </w:tblPrEx>
        <w:trPr>
          <w:trHeight w:val="495" w:hRule="atLeast"/>
          <w:jc w:val="center"/>
        </w:trPr>
        <w:tc>
          <w:tcPr>
            <w:tcW w:w="8145" w:type="dxa"/>
            <w:gridSpan w:val="4"/>
            <w:tcBorders>
              <w:top w:val="nil"/>
              <w:left w:val="single" w:color="auto" w:sz="6" w:space="0"/>
              <w:bottom w:val="single" w:color="auto" w:sz="6" w:space="0"/>
              <w:right w:val="single" w:color="auto" w:sz="6" w:space="0"/>
            </w:tcBorders>
            <w:shd w:val="clear" w:color="auto" w:fill="C6D9F1"/>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第二十条第（五）项</w:t>
            </w:r>
          </w:p>
        </w:tc>
      </w:tr>
      <w:tr>
        <w:tblPrEx>
          <w:tblCellMar>
            <w:top w:w="15" w:type="dxa"/>
            <w:left w:w="15" w:type="dxa"/>
            <w:bottom w:w="15" w:type="dxa"/>
            <w:right w:w="15" w:type="dxa"/>
          </w:tblCellMar>
        </w:tblPrEx>
        <w:trPr>
          <w:trHeight w:val="645" w:hRule="atLeast"/>
          <w:jc w:val="center"/>
        </w:trPr>
        <w:tc>
          <w:tcPr>
            <w:tcW w:w="3120" w:type="dxa"/>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信息内容</w:t>
            </w:r>
          </w:p>
        </w:tc>
        <w:tc>
          <w:tcPr>
            <w:tcW w:w="18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上一年项目数量</w:t>
            </w:r>
          </w:p>
        </w:tc>
        <w:tc>
          <w:tcPr>
            <w:tcW w:w="12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本年增/减</w:t>
            </w:r>
          </w:p>
        </w:tc>
        <w:tc>
          <w:tcPr>
            <w:tcW w:w="18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处理决定数量</w:t>
            </w:r>
          </w:p>
        </w:tc>
      </w:tr>
      <w:tr>
        <w:tblPrEx>
          <w:tblCellMar>
            <w:top w:w="15" w:type="dxa"/>
            <w:left w:w="15" w:type="dxa"/>
            <w:bottom w:w="15" w:type="dxa"/>
            <w:right w:w="15" w:type="dxa"/>
          </w:tblCellMar>
        </w:tblPrEx>
        <w:trPr>
          <w:trHeight w:val="540" w:hRule="atLeast"/>
          <w:jc w:val="center"/>
        </w:trPr>
        <w:tc>
          <w:tcPr>
            <w:tcW w:w="3120" w:type="dxa"/>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行政许可</w:t>
            </w:r>
          </w:p>
        </w:tc>
        <w:tc>
          <w:tcPr>
            <w:tcW w:w="18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126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18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r>
      <w:tr>
        <w:tblPrEx>
          <w:tblCellMar>
            <w:top w:w="15" w:type="dxa"/>
            <w:left w:w="15" w:type="dxa"/>
            <w:bottom w:w="15" w:type="dxa"/>
            <w:right w:w="15" w:type="dxa"/>
          </w:tblCellMar>
        </w:tblPrEx>
        <w:trPr>
          <w:trHeight w:val="570" w:hRule="atLeast"/>
          <w:jc w:val="center"/>
        </w:trPr>
        <w:tc>
          <w:tcPr>
            <w:tcW w:w="3120" w:type="dxa"/>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其他对外管理服务事项</w:t>
            </w:r>
          </w:p>
        </w:tc>
        <w:tc>
          <w:tcPr>
            <w:tcW w:w="18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126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18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r>
      <w:tr>
        <w:tblPrEx>
          <w:tblCellMar>
            <w:top w:w="15" w:type="dxa"/>
            <w:left w:w="15" w:type="dxa"/>
            <w:bottom w:w="15" w:type="dxa"/>
            <w:right w:w="15" w:type="dxa"/>
          </w:tblCellMar>
        </w:tblPrEx>
        <w:trPr>
          <w:trHeight w:val="420" w:hRule="atLeast"/>
          <w:jc w:val="center"/>
        </w:trPr>
        <w:tc>
          <w:tcPr>
            <w:tcW w:w="8145" w:type="dxa"/>
            <w:gridSpan w:val="4"/>
            <w:tcBorders>
              <w:top w:val="nil"/>
              <w:left w:val="single" w:color="auto" w:sz="6" w:space="0"/>
              <w:bottom w:val="single" w:color="auto" w:sz="6" w:space="0"/>
              <w:right w:val="single" w:color="auto" w:sz="6" w:space="0"/>
            </w:tcBorders>
            <w:shd w:val="clear" w:color="auto" w:fill="C6D9F1"/>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第二十条第（六）项</w:t>
            </w:r>
          </w:p>
        </w:tc>
      </w:tr>
      <w:tr>
        <w:tblPrEx>
          <w:tblCellMar>
            <w:top w:w="15" w:type="dxa"/>
            <w:left w:w="15" w:type="dxa"/>
            <w:bottom w:w="15" w:type="dxa"/>
            <w:right w:w="15" w:type="dxa"/>
          </w:tblCellMar>
        </w:tblPrEx>
        <w:trPr>
          <w:trHeight w:val="645" w:hRule="atLeast"/>
          <w:jc w:val="center"/>
        </w:trPr>
        <w:tc>
          <w:tcPr>
            <w:tcW w:w="3120" w:type="dxa"/>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信息内容</w:t>
            </w:r>
          </w:p>
        </w:tc>
        <w:tc>
          <w:tcPr>
            <w:tcW w:w="18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上一年项目数量</w:t>
            </w:r>
          </w:p>
        </w:tc>
        <w:tc>
          <w:tcPr>
            <w:tcW w:w="12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本年增/减</w:t>
            </w:r>
          </w:p>
        </w:tc>
        <w:tc>
          <w:tcPr>
            <w:tcW w:w="18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处理决定数量</w:t>
            </w:r>
          </w:p>
        </w:tc>
      </w:tr>
      <w:tr>
        <w:tblPrEx>
          <w:tblCellMar>
            <w:top w:w="15" w:type="dxa"/>
            <w:left w:w="15" w:type="dxa"/>
            <w:bottom w:w="15" w:type="dxa"/>
            <w:right w:w="15" w:type="dxa"/>
          </w:tblCellMar>
        </w:tblPrEx>
        <w:trPr>
          <w:trHeight w:val="450" w:hRule="atLeast"/>
          <w:jc w:val="center"/>
        </w:trPr>
        <w:tc>
          <w:tcPr>
            <w:tcW w:w="3120" w:type="dxa"/>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行政处罚</w:t>
            </w:r>
          </w:p>
        </w:tc>
        <w:tc>
          <w:tcPr>
            <w:tcW w:w="18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126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18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r>
      <w:tr>
        <w:tblPrEx>
          <w:tblCellMar>
            <w:top w:w="15" w:type="dxa"/>
            <w:left w:w="15" w:type="dxa"/>
            <w:bottom w:w="15" w:type="dxa"/>
            <w:right w:w="15" w:type="dxa"/>
          </w:tblCellMar>
        </w:tblPrEx>
        <w:trPr>
          <w:trHeight w:val="420" w:hRule="atLeast"/>
          <w:jc w:val="center"/>
        </w:trPr>
        <w:tc>
          <w:tcPr>
            <w:tcW w:w="3120" w:type="dxa"/>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行政强制</w:t>
            </w:r>
          </w:p>
        </w:tc>
        <w:tc>
          <w:tcPr>
            <w:tcW w:w="18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126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18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r>
      <w:tr>
        <w:tblPrEx>
          <w:tblCellMar>
            <w:top w:w="15" w:type="dxa"/>
            <w:left w:w="15" w:type="dxa"/>
            <w:bottom w:w="15" w:type="dxa"/>
            <w:right w:w="15" w:type="dxa"/>
          </w:tblCellMar>
        </w:tblPrEx>
        <w:trPr>
          <w:trHeight w:val="495" w:hRule="atLeast"/>
          <w:jc w:val="center"/>
        </w:trPr>
        <w:tc>
          <w:tcPr>
            <w:tcW w:w="8145" w:type="dxa"/>
            <w:gridSpan w:val="4"/>
            <w:tcBorders>
              <w:top w:val="nil"/>
              <w:left w:val="single" w:color="auto" w:sz="6" w:space="0"/>
              <w:bottom w:val="single" w:color="auto" w:sz="6" w:space="0"/>
              <w:right w:val="single" w:color="auto" w:sz="6" w:space="0"/>
            </w:tcBorders>
            <w:shd w:val="clear" w:color="auto" w:fill="C6D9F1"/>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第二十条第（八）项</w:t>
            </w:r>
          </w:p>
        </w:tc>
      </w:tr>
      <w:tr>
        <w:tblPrEx>
          <w:tblCellMar>
            <w:top w:w="15" w:type="dxa"/>
            <w:left w:w="15" w:type="dxa"/>
            <w:bottom w:w="15" w:type="dxa"/>
            <w:right w:w="15" w:type="dxa"/>
          </w:tblCellMar>
        </w:tblPrEx>
        <w:trPr>
          <w:trHeight w:val="285" w:hRule="atLeast"/>
          <w:jc w:val="center"/>
        </w:trPr>
        <w:tc>
          <w:tcPr>
            <w:tcW w:w="3120" w:type="dxa"/>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信息内容</w:t>
            </w:r>
          </w:p>
        </w:tc>
        <w:tc>
          <w:tcPr>
            <w:tcW w:w="18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上一年项目数量</w:t>
            </w:r>
          </w:p>
        </w:tc>
        <w:tc>
          <w:tcPr>
            <w:tcW w:w="3150" w:type="dxa"/>
            <w:gridSpan w:val="2"/>
            <w:tcBorders>
              <w:top w:val="nil"/>
              <w:left w:val="nil"/>
              <w:bottom w:val="single" w:color="auto" w:sz="6" w:space="0"/>
              <w:right w:val="single" w:color="000000"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本年增/减</w:t>
            </w:r>
          </w:p>
        </w:tc>
      </w:tr>
      <w:tr>
        <w:tblPrEx>
          <w:tblCellMar>
            <w:top w:w="15" w:type="dxa"/>
            <w:left w:w="15" w:type="dxa"/>
            <w:bottom w:w="15" w:type="dxa"/>
            <w:right w:w="15" w:type="dxa"/>
          </w:tblCellMar>
        </w:tblPrEx>
        <w:trPr>
          <w:trHeight w:val="570" w:hRule="atLeast"/>
          <w:jc w:val="center"/>
        </w:trPr>
        <w:tc>
          <w:tcPr>
            <w:tcW w:w="3120" w:type="dxa"/>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行政事业性收费</w:t>
            </w:r>
          </w:p>
        </w:tc>
        <w:tc>
          <w:tcPr>
            <w:tcW w:w="18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3150" w:type="dxa"/>
            <w:gridSpan w:val="2"/>
            <w:tcBorders>
              <w:top w:val="nil"/>
              <w:left w:val="nil"/>
              <w:bottom w:val="single" w:color="auto" w:sz="6" w:space="0"/>
              <w:right w:val="single" w:color="000000"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r>
      <w:tr>
        <w:tblPrEx>
          <w:tblCellMar>
            <w:top w:w="15" w:type="dxa"/>
            <w:left w:w="15" w:type="dxa"/>
            <w:bottom w:w="15" w:type="dxa"/>
            <w:right w:w="15" w:type="dxa"/>
          </w:tblCellMar>
        </w:tblPrEx>
        <w:trPr>
          <w:trHeight w:val="495" w:hRule="atLeast"/>
          <w:jc w:val="center"/>
        </w:trPr>
        <w:tc>
          <w:tcPr>
            <w:tcW w:w="8145" w:type="dxa"/>
            <w:gridSpan w:val="4"/>
            <w:tcBorders>
              <w:top w:val="nil"/>
              <w:left w:val="single" w:color="auto" w:sz="6" w:space="0"/>
              <w:bottom w:val="single" w:color="auto" w:sz="6" w:space="0"/>
              <w:right w:val="single" w:color="auto" w:sz="6" w:space="0"/>
            </w:tcBorders>
            <w:shd w:val="clear" w:color="auto" w:fill="C6D9F1"/>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第二十条第（九）项</w:t>
            </w:r>
          </w:p>
        </w:tc>
      </w:tr>
      <w:tr>
        <w:tblPrEx>
          <w:tblCellMar>
            <w:top w:w="15" w:type="dxa"/>
            <w:left w:w="15" w:type="dxa"/>
            <w:bottom w:w="15" w:type="dxa"/>
            <w:right w:w="15" w:type="dxa"/>
          </w:tblCellMar>
        </w:tblPrEx>
        <w:trPr>
          <w:trHeight w:val="600" w:hRule="atLeast"/>
          <w:jc w:val="center"/>
        </w:trPr>
        <w:tc>
          <w:tcPr>
            <w:tcW w:w="3120" w:type="dxa"/>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信息内容</w:t>
            </w:r>
          </w:p>
        </w:tc>
        <w:tc>
          <w:tcPr>
            <w:tcW w:w="18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采购项目数量</w:t>
            </w:r>
          </w:p>
        </w:tc>
        <w:tc>
          <w:tcPr>
            <w:tcW w:w="3150" w:type="dxa"/>
            <w:gridSpan w:val="2"/>
            <w:tcBorders>
              <w:top w:val="nil"/>
              <w:left w:val="nil"/>
              <w:bottom w:val="single" w:color="auto" w:sz="6" w:space="0"/>
              <w:right w:val="single" w:color="000000"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采购总金额</w:t>
            </w:r>
          </w:p>
        </w:tc>
      </w:tr>
      <w:tr>
        <w:tblPrEx>
          <w:tblCellMar>
            <w:top w:w="15" w:type="dxa"/>
            <w:left w:w="15" w:type="dxa"/>
            <w:bottom w:w="15" w:type="dxa"/>
            <w:right w:w="15" w:type="dxa"/>
          </w:tblCellMar>
        </w:tblPrEx>
        <w:trPr>
          <w:trHeight w:val="555" w:hRule="atLeast"/>
          <w:jc w:val="center"/>
        </w:trPr>
        <w:tc>
          <w:tcPr>
            <w:tcW w:w="3120" w:type="dxa"/>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政府集中采购</w:t>
            </w:r>
          </w:p>
        </w:tc>
        <w:tc>
          <w:tcPr>
            <w:tcW w:w="18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3150" w:type="dxa"/>
            <w:gridSpan w:val="2"/>
            <w:tcBorders>
              <w:top w:val="nil"/>
              <w:left w:val="nil"/>
              <w:bottom w:val="single" w:color="auto" w:sz="6" w:space="0"/>
              <w:right w:val="single" w:color="000000"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r>
    </w:tbl>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eastAsia" w:ascii="黑体" w:hAnsi="黑体" w:eastAsia="黑体" w:cs="黑体"/>
          <w:i w:val="0"/>
          <w:iCs w:val="0"/>
          <w:caps w:val="0"/>
          <w:color w:val="000000"/>
          <w:spacing w:val="0"/>
          <w:sz w:val="32"/>
          <w:szCs w:val="32"/>
        </w:rPr>
      </w:pPr>
      <w:r>
        <w:rPr>
          <w:rFonts w:hint="eastAsia" w:ascii="黑体" w:hAnsi="黑体" w:eastAsia="黑体" w:cs="黑体"/>
          <w:i w:val="0"/>
          <w:iCs w:val="0"/>
          <w:caps w:val="0"/>
          <w:color w:val="000000"/>
          <w:spacing w:val="0"/>
          <w:sz w:val="32"/>
          <w:szCs w:val="32"/>
          <w:bdr w:val="none" w:color="auto" w:sz="0" w:space="0"/>
        </w:rPr>
        <w:t>三、收到和处理政府信息公开申请情况</w:t>
      </w:r>
    </w:p>
    <w:tbl>
      <w:tblPr>
        <w:tblW w:w="9075" w:type="dxa"/>
        <w:jc w:val="center"/>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tblLayout w:type="autofit"/>
        <w:tblCellMar>
          <w:top w:w="15" w:type="dxa"/>
          <w:left w:w="15" w:type="dxa"/>
          <w:bottom w:w="15" w:type="dxa"/>
          <w:right w:w="15" w:type="dxa"/>
        </w:tblCellMar>
      </w:tblPr>
      <w:tblGrid>
        <w:gridCol w:w="690"/>
        <w:gridCol w:w="930"/>
        <w:gridCol w:w="1908"/>
        <w:gridCol w:w="772"/>
        <w:gridCol w:w="772"/>
        <w:gridCol w:w="772"/>
        <w:gridCol w:w="772"/>
        <w:gridCol w:w="914"/>
        <w:gridCol w:w="772"/>
        <w:gridCol w:w="773"/>
      </w:tblGrid>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tblCellMar>
            <w:top w:w="15" w:type="dxa"/>
            <w:left w:w="15" w:type="dxa"/>
            <w:bottom w:w="15" w:type="dxa"/>
            <w:right w:w="15" w:type="dxa"/>
          </w:tblCellMar>
        </w:tblPrEx>
        <w:trPr>
          <w:jc w:val="center"/>
        </w:trPr>
        <w:tc>
          <w:tcPr>
            <w:tcW w:w="3480" w:type="dxa"/>
            <w:gridSpan w:val="3"/>
            <w:vMerge w:val="restart"/>
            <w:tcBorders>
              <w:top w:val="single" w:color="auto" w:sz="6" w:space="0"/>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（本列数据的勾稽关系为：第一项加第二项之和，等于第三项加第四项之和）</w:t>
            </w:r>
          </w:p>
        </w:tc>
        <w:tc>
          <w:tcPr>
            <w:tcW w:w="5595" w:type="dxa"/>
            <w:gridSpan w:val="7"/>
            <w:tcBorders>
              <w:top w:val="single" w:color="auto" w:sz="6" w:space="0"/>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申请人情况</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3480" w:type="dxa"/>
            <w:gridSpan w:val="3"/>
            <w:vMerge w:val="continue"/>
            <w:tcBorders>
              <w:top w:val="single" w:color="auto" w:sz="6" w:space="0"/>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rPr>
                <w:rFonts w:hint="default" w:ascii="Times New Roman" w:hAnsi="Times New Roman" w:eastAsia="仿宋_GB2312" w:cs="Times New Roman"/>
                <w:sz w:val="24"/>
                <w:szCs w:val="24"/>
              </w:rPr>
            </w:pPr>
          </w:p>
        </w:tc>
        <w:tc>
          <w:tcPr>
            <w:tcW w:w="825" w:type="dxa"/>
            <w:vMerge w:val="restart"/>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自然人</w:t>
            </w:r>
          </w:p>
        </w:tc>
        <w:tc>
          <w:tcPr>
            <w:tcW w:w="4065" w:type="dxa"/>
            <w:gridSpan w:val="5"/>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法人或其他组织</w:t>
            </w:r>
          </w:p>
        </w:tc>
        <w:tc>
          <w:tcPr>
            <w:tcW w:w="705" w:type="dxa"/>
            <w:vMerge w:val="restart"/>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总计</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3480" w:type="dxa"/>
            <w:gridSpan w:val="3"/>
            <w:vMerge w:val="continue"/>
            <w:tcBorders>
              <w:top w:val="single" w:color="auto" w:sz="6" w:space="0"/>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rPr>
                <w:rFonts w:hint="default" w:ascii="Times New Roman" w:hAnsi="Times New Roman" w:eastAsia="仿宋_GB2312" w:cs="Times New Roman"/>
                <w:sz w:val="24"/>
                <w:szCs w:val="24"/>
              </w:rPr>
            </w:pPr>
          </w:p>
        </w:tc>
        <w:tc>
          <w:tcPr>
            <w:tcW w:w="825" w:type="dxa"/>
            <w:vMerge w:val="continue"/>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rPr>
                <w:rFonts w:hint="default" w:ascii="Times New Roman" w:hAnsi="Times New Roman" w:eastAsia="仿宋_GB2312" w:cs="Times New Roman"/>
                <w:sz w:val="24"/>
                <w:szCs w:val="24"/>
              </w:rPr>
            </w:pPr>
          </w:p>
        </w:tc>
        <w:tc>
          <w:tcPr>
            <w:tcW w:w="76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商业企业</w:t>
            </w:r>
          </w:p>
        </w:tc>
        <w:tc>
          <w:tcPr>
            <w:tcW w:w="76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科研机构</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社会公益组织</w:t>
            </w:r>
          </w:p>
        </w:tc>
        <w:tc>
          <w:tcPr>
            <w:tcW w:w="99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法律服务机构</w:t>
            </w:r>
          </w:p>
        </w:tc>
        <w:tc>
          <w:tcPr>
            <w:tcW w:w="72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其他</w:t>
            </w:r>
          </w:p>
        </w:tc>
        <w:tc>
          <w:tcPr>
            <w:tcW w:w="705" w:type="dxa"/>
            <w:vMerge w:val="continue"/>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rPr>
                <w:rFonts w:hint="default" w:ascii="Times New Roman" w:hAnsi="Times New Roman" w:eastAsia="仿宋_GB2312" w:cs="Times New Roman"/>
                <w:sz w:val="24"/>
                <w:szCs w:val="24"/>
              </w:rPr>
            </w:pP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3480" w:type="dxa"/>
            <w:gridSpan w:val="3"/>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一、本年新收政府信息公开申请数量</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76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76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99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72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70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3480" w:type="dxa"/>
            <w:gridSpan w:val="3"/>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二、上年结转政府信息公开申请数量</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76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76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99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72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70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495" w:type="dxa"/>
            <w:vMerge w:val="restart"/>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三、本年度办理结果</w:t>
            </w:r>
          </w:p>
        </w:tc>
        <w:tc>
          <w:tcPr>
            <w:tcW w:w="2985" w:type="dxa"/>
            <w:gridSpan w:val="2"/>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（一）予以公开</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76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76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99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72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70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495" w:type="dxa"/>
            <w:vMerge w:val="continue"/>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rPr>
                <w:rFonts w:hint="default" w:ascii="Times New Roman" w:hAnsi="Times New Roman" w:eastAsia="仿宋_GB2312" w:cs="Times New Roman"/>
                <w:sz w:val="24"/>
                <w:szCs w:val="24"/>
              </w:rPr>
            </w:pPr>
          </w:p>
        </w:tc>
        <w:tc>
          <w:tcPr>
            <w:tcW w:w="2985" w:type="dxa"/>
            <w:gridSpan w:val="2"/>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（二）部分公开（区分处理的，只计这一情形，不计其他情形）</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76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76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99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72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70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495" w:type="dxa"/>
            <w:vMerge w:val="continue"/>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rPr>
                <w:rFonts w:hint="default" w:ascii="Times New Roman" w:hAnsi="Times New Roman" w:eastAsia="仿宋_GB2312" w:cs="Times New Roman"/>
                <w:sz w:val="24"/>
                <w:szCs w:val="24"/>
              </w:rPr>
            </w:pPr>
          </w:p>
        </w:tc>
        <w:tc>
          <w:tcPr>
            <w:tcW w:w="855" w:type="dxa"/>
            <w:vMerge w:val="restart"/>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（三）不予公开</w:t>
            </w:r>
          </w:p>
        </w:tc>
        <w:tc>
          <w:tcPr>
            <w:tcW w:w="213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1.属于国家秘密</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76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76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99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72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70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495" w:type="dxa"/>
            <w:vMerge w:val="continue"/>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rPr>
                <w:rFonts w:hint="default" w:ascii="Times New Roman" w:hAnsi="Times New Roman" w:eastAsia="仿宋_GB2312" w:cs="Times New Roman"/>
                <w:sz w:val="24"/>
                <w:szCs w:val="24"/>
              </w:rPr>
            </w:pPr>
          </w:p>
        </w:tc>
        <w:tc>
          <w:tcPr>
            <w:tcW w:w="855" w:type="dxa"/>
            <w:vMerge w:val="continue"/>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rPr>
                <w:rFonts w:hint="default" w:ascii="Times New Roman" w:hAnsi="Times New Roman" w:eastAsia="仿宋_GB2312" w:cs="Times New Roman"/>
                <w:sz w:val="24"/>
                <w:szCs w:val="24"/>
              </w:rPr>
            </w:pPr>
          </w:p>
        </w:tc>
        <w:tc>
          <w:tcPr>
            <w:tcW w:w="213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2.其他法律行政法规禁止公开</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76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76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99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72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70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495" w:type="dxa"/>
            <w:vMerge w:val="continue"/>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rPr>
                <w:rFonts w:hint="default" w:ascii="Times New Roman" w:hAnsi="Times New Roman" w:eastAsia="仿宋_GB2312" w:cs="Times New Roman"/>
                <w:sz w:val="24"/>
                <w:szCs w:val="24"/>
              </w:rPr>
            </w:pPr>
          </w:p>
        </w:tc>
        <w:tc>
          <w:tcPr>
            <w:tcW w:w="855" w:type="dxa"/>
            <w:vMerge w:val="continue"/>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rPr>
                <w:rFonts w:hint="default" w:ascii="Times New Roman" w:hAnsi="Times New Roman" w:eastAsia="仿宋_GB2312" w:cs="Times New Roman"/>
                <w:sz w:val="24"/>
                <w:szCs w:val="24"/>
              </w:rPr>
            </w:pPr>
          </w:p>
        </w:tc>
        <w:tc>
          <w:tcPr>
            <w:tcW w:w="213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3.危及“三安全一稳定”</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76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76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99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72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70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495" w:type="dxa"/>
            <w:vMerge w:val="continue"/>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rPr>
                <w:rFonts w:hint="default" w:ascii="Times New Roman" w:hAnsi="Times New Roman" w:eastAsia="仿宋_GB2312" w:cs="Times New Roman"/>
                <w:sz w:val="24"/>
                <w:szCs w:val="24"/>
              </w:rPr>
            </w:pPr>
          </w:p>
        </w:tc>
        <w:tc>
          <w:tcPr>
            <w:tcW w:w="855" w:type="dxa"/>
            <w:vMerge w:val="continue"/>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rPr>
                <w:rFonts w:hint="default" w:ascii="Times New Roman" w:hAnsi="Times New Roman" w:eastAsia="仿宋_GB2312" w:cs="Times New Roman"/>
                <w:sz w:val="24"/>
                <w:szCs w:val="24"/>
              </w:rPr>
            </w:pPr>
          </w:p>
        </w:tc>
        <w:tc>
          <w:tcPr>
            <w:tcW w:w="213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4.保护第三方合法权益</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76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76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99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72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70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495" w:type="dxa"/>
            <w:vMerge w:val="continue"/>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rPr>
                <w:rFonts w:hint="default" w:ascii="Times New Roman" w:hAnsi="Times New Roman" w:eastAsia="仿宋_GB2312" w:cs="Times New Roman"/>
                <w:sz w:val="24"/>
                <w:szCs w:val="24"/>
              </w:rPr>
            </w:pPr>
          </w:p>
        </w:tc>
        <w:tc>
          <w:tcPr>
            <w:tcW w:w="855" w:type="dxa"/>
            <w:vMerge w:val="continue"/>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rPr>
                <w:rFonts w:hint="default" w:ascii="Times New Roman" w:hAnsi="Times New Roman" w:eastAsia="仿宋_GB2312" w:cs="Times New Roman"/>
                <w:sz w:val="24"/>
                <w:szCs w:val="24"/>
              </w:rPr>
            </w:pPr>
          </w:p>
        </w:tc>
        <w:tc>
          <w:tcPr>
            <w:tcW w:w="213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5.属于三类内部事务信息</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76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76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99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72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70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495" w:type="dxa"/>
            <w:vMerge w:val="continue"/>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rPr>
                <w:rFonts w:hint="default" w:ascii="Times New Roman" w:hAnsi="Times New Roman" w:eastAsia="仿宋_GB2312" w:cs="Times New Roman"/>
                <w:sz w:val="24"/>
                <w:szCs w:val="24"/>
              </w:rPr>
            </w:pPr>
          </w:p>
        </w:tc>
        <w:tc>
          <w:tcPr>
            <w:tcW w:w="855" w:type="dxa"/>
            <w:vMerge w:val="continue"/>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rPr>
                <w:rFonts w:hint="default" w:ascii="Times New Roman" w:hAnsi="Times New Roman" w:eastAsia="仿宋_GB2312" w:cs="Times New Roman"/>
                <w:sz w:val="24"/>
                <w:szCs w:val="24"/>
              </w:rPr>
            </w:pPr>
          </w:p>
        </w:tc>
        <w:tc>
          <w:tcPr>
            <w:tcW w:w="213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6.属于四类过程性信息</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76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76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99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72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70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495" w:type="dxa"/>
            <w:vMerge w:val="continue"/>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rPr>
                <w:rFonts w:hint="default" w:ascii="Times New Roman" w:hAnsi="Times New Roman" w:eastAsia="仿宋_GB2312" w:cs="Times New Roman"/>
                <w:sz w:val="24"/>
                <w:szCs w:val="24"/>
              </w:rPr>
            </w:pPr>
          </w:p>
        </w:tc>
        <w:tc>
          <w:tcPr>
            <w:tcW w:w="855" w:type="dxa"/>
            <w:vMerge w:val="continue"/>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rPr>
                <w:rFonts w:hint="default" w:ascii="Times New Roman" w:hAnsi="Times New Roman" w:eastAsia="仿宋_GB2312" w:cs="Times New Roman"/>
                <w:sz w:val="24"/>
                <w:szCs w:val="24"/>
              </w:rPr>
            </w:pPr>
          </w:p>
        </w:tc>
        <w:tc>
          <w:tcPr>
            <w:tcW w:w="213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7.属于行政执法案卷</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76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76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495" w:type="dxa"/>
            <w:vMerge w:val="continue"/>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rPr>
                <w:rFonts w:hint="default" w:ascii="Times New Roman" w:hAnsi="Times New Roman" w:eastAsia="仿宋_GB2312" w:cs="Times New Roman"/>
                <w:sz w:val="24"/>
                <w:szCs w:val="24"/>
              </w:rPr>
            </w:pPr>
          </w:p>
        </w:tc>
        <w:tc>
          <w:tcPr>
            <w:tcW w:w="855" w:type="dxa"/>
            <w:vMerge w:val="continue"/>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rPr>
                <w:rFonts w:hint="default" w:ascii="Times New Roman" w:hAnsi="Times New Roman" w:eastAsia="仿宋_GB2312" w:cs="Times New Roman"/>
                <w:sz w:val="24"/>
                <w:szCs w:val="24"/>
              </w:rPr>
            </w:pPr>
          </w:p>
        </w:tc>
        <w:tc>
          <w:tcPr>
            <w:tcW w:w="213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8.属于行政查询事项</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495" w:type="dxa"/>
            <w:vMerge w:val="continue"/>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rPr>
                <w:rFonts w:hint="default" w:ascii="Times New Roman" w:hAnsi="Times New Roman" w:eastAsia="仿宋_GB2312" w:cs="Times New Roman"/>
                <w:sz w:val="24"/>
                <w:szCs w:val="24"/>
              </w:rPr>
            </w:pPr>
          </w:p>
        </w:tc>
        <w:tc>
          <w:tcPr>
            <w:tcW w:w="855" w:type="dxa"/>
            <w:vMerge w:val="restart"/>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（四）无法提供</w:t>
            </w:r>
          </w:p>
        </w:tc>
        <w:tc>
          <w:tcPr>
            <w:tcW w:w="213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1.本机关不掌握相关政府信息</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495" w:type="dxa"/>
            <w:vMerge w:val="continue"/>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rPr>
                <w:rFonts w:hint="default" w:ascii="Times New Roman" w:hAnsi="Times New Roman" w:eastAsia="仿宋_GB2312" w:cs="Times New Roman"/>
                <w:sz w:val="24"/>
                <w:szCs w:val="24"/>
              </w:rPr>
            </w:pPr>
          </w:p>
        </w:tc>
        <w:tc>
          <w:tcPr>
            <w:tcW w:w="855" w:type="dxa"/>
            <w:vMerge w:val="continue"/>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rPr>
                <w:rFonts w:hint="default" w:ascii="Times New Roman" w:hAnsi="Times New Roman" w:eastAsia="仿宋_GB2312" w:cs="Times New Roman"/>
                <w:sz w:val="24"/>
                <w:szCs w:val="24"/>
              </w:rPr>
            </w:pPr>
          </w:p>
        </w:tc>
        <w:tc>
          <w:tcPr>
            <w:tcW w:w="213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2.没有现成信息需要另行制作</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495" w:type="dxa"/>
            <w:vMerge w:val="continue"/>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rPr>
                <w:rFonts w:hint="default" w:ascii="Times New Roman" w:hAnsi="Times New Roman" w:eastAsia="仿宋_GB2312" w:cs="Times New Roman"/>
                <w:sz w:val="24"/>
                <w:szCs w:val="24"/>
              </w:rPr>
            </w:pPr>
          </w:p>
        </w:tc>
        <w:tc>
          <w:tcPr>
            <w:tcW w:w="855" w:type="dxa"/>
            <w:vMerge w:val="continue"/>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rPr>
                <w:rFonts w:hint="default" w:ascii="Times New Roman" w:hAnsi="Times New Roman" w:eastAsia="仿宋_GB2312" w:cs="Times New Roman"/>
                <w:sz w:val="24"/>
                <w:szCs w:val="24"/>
              </w:rPr>
            </w:pPr>
          </w:p>
        </w:tc>
        <w:tc>
          <w:tcPr>
            <w:tcW w:w="213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3.补正后申请内容仍不明确</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495" w:type="dxa"/>
            <w:vMerge w:val="continue"/>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rPr>
                <w:rFonts w:hint="default" w:ascii="Times New Roman" w:hAnsi="Times New Roman" w:eastAsia="仿宋_GB2312" w:cs="Times New Roman"/>
                <w:sz w:val="24"/>
                <w:szCs w:val="24"/>
              </w:rPr>
            </w:pPr>
          </w:p>
        </w:tc>
        <w:tc>
          <w:tcPr>
            <w:tcW w:w="855" w:type="dxa"/>
            <w:vMerge w:val="restart"/>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（五）不予处理</w:t>
            </w:r>
          </w:p>
        </w:tc>
        <w:tc>
          <w:tcPr>
            <w:tcW w:w="213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1.信访举报投诉类申请</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495" w:type="dxa"/>
            <w:vMerge w:val="continue"/>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rPr>
                <w:rFonts w:hint="default" w:ascii="Times New Roman" w:hAnsi="Times New Roman" w:eastAsia="仿宋_GB2312" w:cs="Times New Roman"/>
                <w:sz w:val="24"/>
                <w:szCs w:val="24"/>
              </w:rPr>
            </w:pPr>
          </w:p>
        </w:tc>
        <w:tc>
          <w:tcPr>
            <w:tcW w:w="855" w:type="dxa"/>
            <w:vMerge w:val="continue"/>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rPr>
                <w:rFonts w:hint="default" w:ascii="Times New Roman" w:hAnsi="Times New Roman" w:eastAsia="仿宋_GB2312" w:cs="Times New Roman"/>
                <w:sz w:val="24"/>
                <w:szCs w:val="24"/>
              </w:rPr>
            </w:pPr>
          </w:p>
        </w:tc>
        <w:tc>
          <w:tcPr>
            <w:tcW w:w="213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2.重复申请</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495" w:type="dxa"/>
            <w:vMerge w:val="continue"/>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rPr>
                <w:rFonts w:hint="default" w:ascii="Times New Roman" w:hAnsi="Times New Roman" w:eastAsia="仿宋_GB2312" w:cs="Times New Roman"/>
                <w:sz w:val="24"/>
                <w:szCs w:val="24"/>
              </w:rPr>
            </w:pPr>
          </w:p>
        </w:tc>
        <w:tc>
          <w:tcPr>
            <w:tcW w:w="855" w:type="dxa"/>
            <w:vMerge w:val="continue"/>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rPr>
                <w:rFonts w:hint="default" w:ascii="Times New Roman" w:hAnsi="Times New Roman" w:eastAsia="仿宋_GB2312" w:cs="Times New Roman"/>
                <w:sz w:val="24"/>
                <w:szCs w:val="24"/>
              </w:rPr>
            </w:pPr>
          </w:p>
        </w:tc>
        <w:tc>
          <w:tcPr>
            <w:tcW w:w="213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3.要求提供公开出版物</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495" w:type="dxa"/>
            <w:vMerge w:val="continue"/>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rPr>
                <w:rFonts w:hint="default" w:ascii="Times New Roman" w:hAnsi="Times New Roman" w:eastAsia="仿宋_GB2312" w:cs="Times New Roman"/>
                <w:sz w:val="24"/>
                <w:szCs w:val="24"/>
              </w:rPr>
            </w:pPr>
          </w:p>
        </w:tc>
        <w:tc>
          <w:tcPr>
            <w:tcW w:w="855" w:type="dxa"/>
            <w:vMerge w:val="continue"/>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rPr>
                <w:rFonts w:hint="default" w:ascii="Times New Roman" w:hAnsi="Times New Roman" w:eastAsia="仿宋_GB2312" w:cs="Times New Roman"/>
                <w:sz w:val="24"/>
                <w:szCs w:val="24"/>
              </w:rPr>
            </w:pPr>
          </w:p>
        </w:tc>
        <w:tc>
          <w:tcPr>
            <w:tcW w:w="213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4.无正当理由大量反复申请</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495" w:type="dxa"/>
            <w:vMerge w:val="continue"/>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rPr>
                <w:rFonts w:hint="default" w:ascii="Times New Roman" w:hAnsi="Times New Roman" w:eastAsia="仿宋_GB2312" w:cs="Times New Roman"/>
                <w:sz w:val="24"/>
                <w:szCs w:val="24"/>
              </w:rPr>
            </w:pPr>
          </w:p>
        </w:tc>
        <w:tc>
          <w:tcPr>
            <w:tcW w:w="855" w:type="dxa"/>
            <w:vMerge w:val="continue"/>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rPr>
                <w:rFonts w:hint="default" w:ascii="Times New Roman" w:hAnsi="Times New Roman" w:eastAsia="仿宋_GB2312" w:cs="Times New Roman"/>
                <w:sz w:val="24"/>
                <w:szCs w:val="24"/>
              </w:rPr>
            </w:pPr>
          </w:p>
        </w:tc>
        <w:tc>
          <w:tcPr>
            <w:tcW w:w="213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5.要求行政机关确认或重新出具已获取信息</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495" w:type="dxa"/>
            <w:vMerge w:val="continue"/>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rPr>
                <w:rFonts w:hint="default" w:ascii="Times New Roman" w:hAnsi="Times New Roman" w:eastAsia="仿宋_GB2312" w:cs="Times New Roman"/>
                <w:sz w:val="24"/>
                <w:szCs w:val="24"/>
              </w:rPr>
            </w:pPr>
          </w:p>
        </w:tc>
        <w:tc>
          <w:tcPr>
            <w:tcW w:w="2985" w:type="dxa"/>
            <w:gridSpan w:val="2"/>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（六）其他处理</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495" w:type="dxa"/>
            <w:vMerge w:val="continue"/>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rPr>
                <w:rFonts w:hint="default" w:ascii="Times New Roman" w:hAnsi="Times New Roman" w:eastAsia="仿宋_GB2312" w:cs="Times New Roman"/>
                <w:sz w:val="24"/>
                <w:szCs w:val="24"/>
              </w:rPr>
            </w:pPr>
          </w:p>
        </w:tc>
        <w:tc>
          <w:tcPr>
            <w:tcW w:w="2985" w:type="dxa"/>
            <w:gridSpan w:val="2"/>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（七）总计</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3480" w:type="dxa"/>
            <w:gridSpan w:val="3"/>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四、结转下年度继续办理</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82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r>
    </w:tbl>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eastAsia" w:ascii="黑体" w:hAnsi="黑体" w:eastAsia="黑体" w:cs="黑体"/>
          <w:i w:val="0"/>
          <w:iCs w:val="0"/>
          <w:caps w:val="0"/>
          <w:color w:val="000000"/>
          <w:spacing w:val="0"/>
          <w:sz w:val="32"/>
          <w:szCs w:val="32"/>
        </w:rPr>
      </w:pPr>
      <w:r>
        <w:rPr>
          <w:rFonts w:hint="eastAsia" w:ascii="黑体" w:hAnsi="黑体" w:eastAsia="黑体" w:cs="黑体"/>
          <w:i w:val="0"/>
          <w:iCs w:val="0"/>
          <w:caps w:val="0"/>
          <w:color w:val="000000"/>
          <w:spacing w:val="0"/>
          <w:sz w:val="32"/>
          <w:szCs w:val="32"/>
          <w:bdr w:val="none" w:color="auto" w:sz="0" w:space="0"/>
        </w:rPr>
        <w:t>四、政府信息公开行政复议、行政诉讼情况</w:t>
      </w:r>
    </w:p>
    <w:tbl>
      <w:tblPr>
        <w:tblW w:w="9075" w:type="dxa"/>
        <w:jc w:val="center"/>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tblLayout w:type="autofit"/>
        <w:tblCellMar>
          <w:top w:w="15" w:type="dxa"/>
          <w:left w:w="15" w:type="dxa"/>
          <w:bottom w:w="15" w:type="dxa"/>
          <w:right w:w="15" w:type="dxa"/>
        </w:tblCellMar>
      </w:tblPr>
      <w:tblGrid>
        <w:gridCol w:w="600"/>
        <w:gridCol w:w="600"/>
        <w:gridCol w:w="600"/>
        <w:gridCol w:w="600"/>
        <w:gridCol w:w="675"/>
        <w:gridCol w:w="555"/>
        <w:gridCol w:w="600"/>
        <w:gridCol w:w="600"/>
        <w:gridCol w:w="600"/>
        <w:gridCol w:w="615"/>
        <w:gridCol w:w="600"/>
        <w:gridCol w:w="600"/>
        <w:gridCol w:w="600"/>
        <w:gridCol w:w="600"/>
        <w:gridCol w:w="630"/>
      </w:tblGrid>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tblCellMar>
            <w:top w:w="15" w:type="dxa"/>
            <w:left w:w="15" w:type="dxa"/>
            <w:bottom w:w="15" w:type="dxa"/>
            <w:right w:w="15" w:type="dxa"/>
          </w:tblCellMar>
        </w:tblPrEx>
        <w:trPr>
          <w:jc w:val="center"/>
        </w:trPr>
        <w:tc>
          <w:tcPr>
            <w:tcW w:w="3075" w:type="dxa"/>
            <w:gridSpan w:val="5"/>
            <w:tcBorders>
              <w:top w:val="single" w:color="auto" w:sz="6" w:space="0"/>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行政复议</w:t>
            </w:r>
          </w:p>
        </w:tc>
        <w:tc>
          <w:tcPr>
            <w:tcW w:w="6000" w:type="dxa"/>
            <w:gridSpan w:val="10"/>
            <w:tcBorders>
              <w:top w:val="single" w:color="auto" w:sz="6" w:space="0"/>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行政诉讼</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600" w:type="dxa"/>
            <w:vMerge w:val="restart"/>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结果维持</w:t>
            </w:r>
          </w:p>
        </w:tc>
        <w:tc>
          <w:tcPr>
            <w:tcW w:w="600" w:type="dxa"/>
            <w:vMerge w:val="restart"/>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结果纠正</w:t>
            </w:r>
          </w:p>
        </w:tc>
        <w:tc>
          <w:tcPr>
            <w:tcW w:w="600" w:type="dxa"/>
            <w:vMerge w:val="restart"/>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其他结果</w:t>
            </w:r>
          </w:p>
        </w:tc>
        <w:tc>
          <w:tcPr>
            <w:tcW w:w="600" w:type="dxa"/>
            <w:vMerge w:val="restart"/>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尚未审结</w:t>
            </w:r>
          </w:p>
        </w:tc>
        <w:tc>
          <w:tcPr>
            <w:tcW w:w="675" w:type="dxa"/>
            <w:vMerge w:val="restart"/>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总计</w:t>
            </w:r>
          </w:p>
        </w:tc>
        <w:tc>
          <w:tcPr>
            <w:tcW w:w="2970" w:type="dxa"/>
            <w:gridSpan w:val="5"/>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未经复议直接起诉</w:t>
            </w:r>
          </w:p>
        </w:tc>
        <w:tc>
          <w:tcPr>
            <w:tcW w:w="3030" w:type="dxa"/>
            <w:gridSpan w:val="5"/>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复议后起诉</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600" w:type="dxa"/>
            <w:vMerge w:val="continue"/>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rPr>
                <w:rFonts w:hint="default" w:ascii="Times New Roman" w:hAnsi="Times New Roman" w:eastAsia="仿宋_GB2312" w:cs="Times New Roman"/>
                <w:sz w:val="24"/>
                <w:szCs w:val="24"/>
              </w:rPr>
            </w:pPr>
          </w:p>
        </w:tc>
        <w:tc>
          <w:tcPr>
            <w:tcW w:w="600" w:type="dxa"/>
            <w:vMerge w:val="continue"/>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rPr>
                <w:rFonts w:hint="default" w:ascii="Times New Roman" w:hAnsi="Times New Roman" w:eastAsia="仿宋_GB2312" w:cs="Times New Roman"/>
                <w:sz w:val="24"/>
                <w:szCs w:val="24"/>
              </w:rPr>
            </w:pPr>
          </w:p>
        </w:tc>
        <w:tc>
          <w:tcPr>
            <w:tcW w:w="600" w:type="dxa"/>
            <w:vMerge w:val="continue"/>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rPr>
                <w:rFonts w:hint="default" w:ascii="Times New Roman" w:hAnsi="Times New Roman" w:eastAsia="仿宋_GB2312" w:cs="Times New Roman"/>
                <w:sz w:val="24"/>
                <w:szCs w:val="24"/>
              </w:rPr>
            </w:pPr>
          </w:p>
        </w:tc>
        <w:tc>
          <w:tcPr>
            <w:tcW w:w="600" w:type="dxa"/>
            <w:vMerge w:val="continue"/>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rPr>
                <w:rFonts w:hint="default" w:ascii="Times New Roman" w:hAnsi="Times New Roman" w:eastAsia="仿宋_GB2312" w:cs="Times New Roman"/>
                <w:sz w:val="24"/>
                <w:szCs w:val="24"/>
              </w:rPr>
            </w:pPr>
          </w:p>
        </w:tc>
        <w:tc>
          <w:tcPr>
            <w:tcW w:w="675" w:type="dxa"/>
            <w:vMerge w:val="continue"/>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rPr>
                <w:rFonts w:hint="default" w:ascii="Times New Roman" w:hAnsi="Times New Roman" w:eastAsia="仿宋_GB2312" w:cs="Times New Roman"/>
                <w:sz w:val="24"/>
                <w:szCs w:val="24"/>
              </w:rPr>
            </w:pPr>
          </w:p>
        </w:tc>
        <w:tc>
          <w:tcPr>
            <w:tcW w:w="55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结果维持</w:t>
            </w:r>
          </w:p>
        </w:tc>
        <w:tc>
          <w:tcPr>
            <w:tcW w:w="60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结果纠正</w:t>
            </w:r>
          </w:p>
        </w:tc>
        <w:tc>
          <w:tcPr>
            <w:tcW w:w="60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其他结果</w:t>
            </w:r>
          </w:p>
        </w:tc>
        <w:tc>
          <w:tcPr>
            <w:tcW w:w="60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尚未审结</w:t>
            </w:r>
          </w:p>
        </w:tc>
        <w:tc>
          <w:tcPr>
            <w:tcW w:w="61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总计</w:t>
            </w:r>
          </w:p>
        </w:tc>
        <w:tc>
          <w:tcPr>
            <w:tcW w:w="60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结果维持</w:t>
            </w:r>
          </w:p>
        </w:tc>
        <w:tc>
          <w:tcPr>
            <w:tcW w:w="60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结果纠正</w:t>
            </w:r>
          </w:p>
        </w:tc>
        <w:tc>
          <w:tcPr>
            <w:tcW w:w="60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其他结果</w:t>
            </w:r>
          </w:p>
        </w:tc>
        <w:tc>
          <w:tcPr>
            <w:tcW w:w="60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尚未审结</w:t>
            </w:r>
          </w:p>
        </w:tc>
        <w:tc>
          <w:tcPr>
            <w:tcW w:w="63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总计</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600" w:type="dxa"/>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60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60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60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6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55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60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60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60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61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60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60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60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60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c>
          <w:tcPr>
            <w:tcW w:w="63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bdr w:val="none" w:color="auto" w:sz="0" w:space="0"/>
              </w:rPr>
              <w:t>0</w:t>
            </w:r>
          </w:p>
        </w:tc>
      </w:tr>
    </w:tbl>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exact"/>
        <w:ind w:left="0" w:right="0" w:firstLine="640" w:firstLineChars="200"/>
        <w:textAlignment w:val="auto"/>
        <w:rPr>
          <w:rFonts w:hint="eastAsia" w:ascii="黑体" w:hAnsi="黑体" w:eastAsia="黑体" w:cs="黑体"/>
          <w:i w:val="0"/>
          <w:iCs w:val="0"/>
          <w:caps w:val="0"/>
          <w:color w:val="000000"/>
          <w:spacing w:val="0"/>
          <w:sz w:val="32"/>
          <w:szCs w:val="32"/>
        </w:rPr>
      </w:pPr>
      <w:r>
        <w:rPr>
          <w:rFonts w:hint="eastAsia" w:ascii="黑体" w:hAnsi="黑体" w:eastAsia="黑体" w:cs="黑体"/>
          <w:i w:val="0"/>
          <w:iCs w:val="0"/>
          <w:caps w:val="0"/>
          <w:color w:val="000000"/>
          <w:spacing w:val="0"/>
          <w:sz w:val="32"/>
          <w:szCs w:val="32"/>
          <w:bdr w:val="none" w:color="auto" w:sz="0" w:space="0"/>
        </w:rPr>
        <w:t>五、存在的主要问题及改进情况</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exact"/>
        <w:ind w:left="0" w:right="0" w:firstLine="640" w:firstLineChars="200"/>
        <w:textAlignment w:val="auto"/>
        <w:rPr>
          <w:rFonts w:hint="default" w:ascii="Times New Roman" w:hAnsi="Times New Roman" w:eastAsia="仿宋_GB2312" w:cs="Times New Roman"/>
          <w:i w:val="0"/>
          <w:iCs w:val="0"/>
          <w:caps w:val="0"/>
          <w:color w:val="000000"/>
          <w:spacing w:val="0"/>
          <w:sz w:val="32"/>
          <w:szCs w:val="32"/>
        </w:rPr>
      </w:pPr>
      <w:r>
        <w:rPr>
          <w:rFonts w:hint="default" w:ascii="Times New Roman" w:hAnsi="Times New Roman" w:eastAsia="仿宋_GB2312" w:cs="Times New Roman"/>
          <w:i w:val="0"/>
          <w:iCs w:val="0"/>
          <w:caps w:val="0"/>
          <w:color w:val="000000"/>
          <w:spacing w:val="0"/>
          <w:sz w:val="32"/>
          <w:szCs w:val="32"/>
          <w:bdr w:val="none" w:color="auto" w:sz="0" w:space="0"/>
        </w:rPr>
        <w:t>存在的主要问题：一是公开的内容与公众的需求还存在一些距离，公开的重点不突出，对群众关心的热点、难点问题未能做到全面公开，公开意识需要进一步深化;二是主动公开的意识不够强。只是把政府信息公开工作看作是一项事务性、阶段性工作去应对，工作缺乏主动性；三是公开内容不够规范，缺乏全面性。</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exact"/>
        <w:ind w:left="0" w:right="0" w:firstLine="640" w:firstLineChars="200"/>
        <w:textAlignment w:val="auto"/>
        <w:rPr>
          <w:rFonts w:hint="default" w:ascii="Times New Roman" w:hAnsi="Times New Roman" w:eastAsia="仿宋_GB2312" w:cs="Times New Roman"/>
          <w:i w:val="0"/>
          <w:iCs w:val="0"/>
          <w:caps w:val="0"/>
          <w:color w:val="000000"/>
          <w:spacing w:val="0"/>
          <w:sz w:val="32"/>
          <w:szCs w:val="32"/>
        </w:rPr>
      </w:pPr>
      <w:r>
        <w:rPr>
          <w:rFonts w:hint="default" w:ascii="Times New Roman" w:hAnsi="Times New Roman" w:eastAsia="仿宋_GB2312" w:cs="Times New Roman"/>
          <w:i w:val="0"/>
          <w:iCs w:val="0"/>
          <w:caps w:val="0"/>
          <w:color w:val="000000"/>
          <w:spacing w:val="0"/>
          <w:sz w:val="32"/>
          <w:szCs w:val="32"/>
          <w:bdr w:val="none" w:color="auto" w:sz="0" w:space="0"/>
        </w:rPr>
        <w:t>今后，街道将从以下几个方面采取措施，进一步加强政府信息公开工作。</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exact"/>
        <w:ind w:left="0" w:right="0" w:firstLine="640" w:firstLineChars="200"/>
        <w:textAlignment w:val="auto"/>
        <w:rPr>
          <w:rFonts w:hint="default" w:ascii="Times New Roman" w:hAnsi="Times New Roman" w:eastAsia="仿宋_GB2312" w:cs="Times New Roman"/>
          <w:i w:val="0"/>
          <w:iCs w:val="0"/>
          <w:caps w:val="0"/>
          <w:color w:val="000000"/>
          <w:spacing w:val="0"/>
          <w:sz w:val="32"/>
          <w:szCs w:val="32"/>
        </w:rPr>
      </w:pPr>
      <w:r>
        <w:rPr>
          <w:rFonts w:hint="default" w:ascii="Times New Roman" w:hAnsi="Times New Roman" w:eastAsia="仿宋_GB2312" w:cs="Times New Roman"/>
          <w:i w:val="0"/>
          <w:iCs w:val="0"/>
          <w:caps w:val="0"/>
          <w:color w:val="000000"/>
          <w:spacing w:val="0"/>
          <w:sz w:val="32"/>
          <w:szCs w:val="32"/>
          <w:bdr w:val="none" w:color="auto" w:sz="0" w:space="0"/>
        </w:rPr>
        <w:t>1、加强组织领导，提高思想认识。定期对信息公开工作人员进行培训，增强公开意识,把握工作重点，提高业务水平。健全和完善政府信息公开工作各项机制和制度，建立严格的责任制，明确各级领导、专干责任，推进辖区政务公开工作。</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exact"/>
        <w:ind w:left="0" w:right="0" w:firstLine="640" w:firstLineChars="200"/>
        <w:textAlignment w:val="auto"/>
        <w:rPr>
          <w:rFonts w:hint="default" w:ascii="Times New Roman" w:hAnsi="Times New Roman" w:eastAsia="仿宋_GB2312" w:cs="Times New Roman"/>
          <w:i w:val="0"/>
          <w:iCs w:val="0"/>
          <w:caps w:val="0"/>
          <w:color w:val="000000"/>
          <w:spacing w:val="0"/>
          <w:sz w:val="32"/>
          <w:szCs w:val="32"/>
        </w:rPr>
      </w:pPr>
      <w:r>
        <w:rPr>
          <w:rFonts w:hint="default" w:ascii="Times New Roman" w:hAnsi="Times New Roman" w:eastAsia="仿宋_GB2312" w:cs="Times New Roman"/>
          <w:i w:val="0"/>
          <w:iCs w:val="0"/>
          <w:caps w:val="0"/>
          <w:color w:val="000000"/>
          <w:spacing w:val="0"/>
          <w:sz w:val="32"/>
          <w:szCs w:val="32"/>
          <w:bdr w:val="none" w:color="auto" w:sz="0" w:space="0"/>
        </w:rPr>
        <w:t>2、推行政务公开，要紧紧抓住基层群众最关心的问题来开展。如实公开同群众切身利益相关又最容易出现不公平、不公正甚至产生腐败的事情，自觉接受群众监督。</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exact"/>
        <w:ind w:left="0" w:right="0" w:firstLine="640" w:firstLineChars="200"/>
        <w:textAlignment w:val="auto"/>
        <w:rPr>
          <w:rFonts w:hint="default" w:ascii="Times New Roman" w:hAnsi="Times New Roman" w:eastAsia="仿宋_GB2312" w:cs="Times New Roman"/>
          <w:i w:val="0"/>
          <w:iCs w:val="0"/>
          <w:caps w:val="0"/>
          <w:color w:val="000000"/>
          <w:spacing w:val="0"/>
          <w:sz w:val="32"/>
          <w:szCs w:val="32"/>
        </w:rPr>
      </w:pPr>
      <w:r>
        <w:rPr>
          <w:rFonts w:hint="default" w:ascii="Times New Roman" w:hAnsi="Times New Roman" w:eastAsia="仿宋_GB2312" w:cs="Times New Roman"/>
          <w:i w:val="0"/>
          <w:iCs w:val="0"/>
          <w:caps w:val="0"/>
          <w:color w:val="000000"/>
          <w:spacing w:val="0"/>
          <w:sz w:val="32"/>
          <w:szCs w:val="32"/>
          <w:bdr w:val="none" w:color="auto" w:sz="0" w:space="0"/>
        </w:rPr>
        <w:t>3、加大重点信息发布力度，保障信息发布的时效性和规范性，及时、全面、公开地更新信息。进一步强化政府信息公开监督检查工作，在公开信息时加强保密审查，确保不能公开的坚决不公开。</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exact"/>
        <w:ind w:left="0" w:right="0" w:firstLine="640" w:firstLineChars="200"/>
        <w:textAlignment w:val="auto"/>
        <w:rPr>
          <w:rFonts w:hint="eastAsia" w:ascii="黑体" w:hAnsi="黑体" w:eastAsia="黑体" w:cs="黑体"/>
          <w:i w:val="0"/>
          <w:iCs w:val="0"/>
          <w:caps w:val="0"/>
          <w:color w:val="000000"/>
          <w:spacing w:val="0"/>
          <w:sz w:val="32"/>
          <w:szCs w:val="32"/>
        </w:rPr>
      </w:pPr>
      <w:r>
        <w:rPr>
          <w:rFonts w:hint="eastAsia" w:ascii="黑体" w:hAnsi="黑体" w:eastAsia="黑体" w:cs="黑体"/>
          <w:i w:val="0"/>
          <w:iCs w:val="0"/>
          <w:caps w:val="0"/>
          <w:color w:val="000000"/>
          <w:spacing w:val="0"/>
          <w:sz w:val="32"/>
          <w:szCs w:val="32"/>
          <w:bdr w:val="none" w:color="auto" w:sz="0" w:space="0"/>
        </w:rPr>
        <w:t>六、其他需要报告的事项</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exact"/>
        <w:ind w:left="0" w:right="0" w:firstLine="640" w:firstLineChars="200"/>
        <w:textAlignment w:val="auto"/>
        <w:rPr>
          <w:rFonts w:hint="default" w:ascii="Times New Roman" w:hAnsi="Times New Roman" w:eastAsia="仿宋_GB2312" w:cs="Times New Roman"/>
          <w:i w:val="0"/>
          <w:iCs w:val="0"/>
          <w:caps w:val="0"/>
          <w:color w:val="000000"/>
          <w:spacing w:val="0"/>
          <w:sz w:val="32"/>
          <w:szCs w:val="32"/>
        </w:rPr>
      </w:pPr>
      <w:r>
        <w:rPr>
          <w:rFonts w:hint="default" w:ascii="Times New Roman" w:hAnsi="Times New Roman" w:eastAsia="仿宋_GB2312" w:cs="Times New Roman"/>
          <w:i w:val="0"/>
          <w:iCs w:val="0"/>
          <w:caps w:val="0"/>
          <w:color w:val="000000"/>
          <w:spacing w:val="0"/>
          <w:sz w:val="32"/>
          <w:szCs w:val="32"/>
          <w:bdr w:val="none" w:color="auto" w:sz="0" w:space="0"/>
        </w:rPr>
        <w:t>无 </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exact"/>
        <w:ind w:left="0" w:right="0" w:firstLine="640" w:firstLineChars="200"/>
        <w:jc w:val="right"/>
        <w:textAlignment w:val="auto"/>
        <w:rPr>
          <w:rFonts w:hint="default" w:ascii="Times New Roman" w:hAnsi="Times New Roman" w:eastAsia="仿宋_GB2312" w:cs="Times New Roman"/>
          <w:i w:val="0"/>
          <w:iCs w:val="0"/>
          <w:caps w:val="0"/>
          <w:color w:val="000000"/>
          <w:spacing w:val="0"/>
          <w:sz w:val="32"/>
          <w:szCs w:val="32"/>
        </w:rPr>
      </w:pPr>
      <w:r>
        <w:rPr>
          <w:rFonts w:hint="default" w:ascii="Times New Roman" w:hAnsi="Times New Roman" w:eastAsia="仿宋_GB2312" w:cs="Times New Roman"/>
          <w:i w:val="0"/>
          <w:iCs w:val="0"/>
          <w:caps w:val="0"/>
          <w:color w:val="000000"/>
          <w:spacing w:val="0"/>
          <w:sz w:val="32"/>
          <w:szCs w:val="32"/>
          <w:bdr w:val="none" w:color="auto" w:sz="0" w:space="0"/>
        </w:rPr>
        <w:t> </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exact"/>
        <w:ind w:left="0" w:right="0" w:firstLine="640" w:firstLineChars="200"/>
        <w:jc w:val="right"/>
        <w:textAlignment w:val="auto"/>
        <w:rPr>
          <w:rFonts w:hint="default" w:ascii="Times New Roman" w:hAnsi="Times New Roman" w:eastAsia="仿宋_GB2312" w:cs="Times New Roman"/>
          <w:i w:val="0"/>
          <w:iCs w:val="0"/>
          <w:caps w:val="0"/>
          <w:color w:val="000000"/>
          <w:spacing w:val="0"/>
          <w:sz w:val="32"/>
          <w:szCs w:val="32"/>
        </w:rPr>
      </w:pPr>
      <w:r>
        <w:rPr>
          <w:rFonts w:hint="default" w:ascii="Times New Roman" w:hAnsi="Times New Roman" w:eastAsia="仿宋_GB2312" w:cs="Times New Roman"/>
          <w:i w:val="0"/>
          <w:iCs w:val="0"/>
          <w:caps w:val="0"/>
          <w:color w:val="000000"/>
          <w:spacing w:val="0"/>
          <w:sz w:val="32"/>
          <w:szCs w:val="32"/>
          <w:bdr w:val="none" w:color="auto" w:sz="0" w:space="0"/>
          <w:lang w:eastAsia="zh-CN"/>
        </w:rPr>
        <w:t>威海市文登区</w:t>
      </w:r>
      <w:r>
        <w:rPr>
          <w:rFonts w:hint="default" w:ascii="Times New Roman" w:hAnsi="Times New Roman" w:eastAsia="仿宋_GB2312" w:cs="Times New Roman"/>
          <w:i w:val="0"/>
          <w:iCs w:val="0"/>
          <w:caps w:val="0"/>
          <w:color w:val="000000"/>
          <w:spacing w:val="0"/>
          <w:sz w:val="32"/>
          <w:szCs w:val="32"/>
          <w:bdr w:val="none" w:color="auto" w:sz="0" w:space="0"/>
        </w:rPr>
        <w:t>环山街道办事处</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exact"/>
        <w:ind w:left="0" w:right="0" w:firstLine="640" w:firstLineChars="200"/>
        <w:jc w:val="center"/>
        <w:textAlignment w:val="auto"/>
        <w:rPr>
          <w:rFonts w:hint="eastAsia" w:ascii="仿宋_GB2312" w:hAnsi="仿宋_GB2312" w:eastAsia="仿宋_GB2312" w:cs="仿宋_GB2312"/>
          <w:sz w:val="32"/>
          <w:szCs w:val="32"/>
        </w:rPr>
      </w:pPr>
      <w:r>
        <w:rPr>
          <w:rFonts w:hint="default" w:ascii="Times New Roman" w:hAnsi="Times New Roman" w:eastAsia="仿宋_GB2312" w:cs="Times New Roman"/>
          <w:i w:val="0"/>
          <w:iCs w:val="0"/>
          <w:caps w:val="0"/>
          <w:color w:val="000000"/>
          <w:spacing w:val="0"/>
          <w:sz w:val="32"/>
          <w:szCs w:val="32"/>
          <w:bdr w:val="none" w:color="auto" w:sz="0" w:space="0"/>
          <w:lang w:val="en-US" w:eastAsia="zh-CN"/>
        </w:rPr>
        <w:t xml:space="preserve">                        </w:t>
      </w:r>
      <w:r>
        <w:rPr>
          <w:rFonts w:hint="default" w:ascii="Times New Roman" w:hAnsi="Times New Roman" w:eastAsia="仿宋_GB2312" w:cs="Times New Roman"/>
          <w:i w:val="0"/>
          <w:iCs w:val="0"/>
          <w:caps w:val="0"/>
          <w:color w:val="000000"/>
          <w:spacing w:val="0"/>
          <w:sz w:val="32"/>
          <w:szCs w:val="32"/>
          <w:bdr w:val="none" w:color="auto" w:sz="0" w:space="0"/>
        </w:rPr>
        <w:t>2021年1月25日</w:t>
      </w:r>
    </w:p>
    <w:sectPr>
      <w:pgSz w:w="11906" w:h="16838"/>
      <w:pgMar w:top="2098" w:right="1531" w:bottom="2098" w:left="1531" w:header="851" w:footer="992" w:gutter="0"/>
      <w:paperSrc/>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sans-serif">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96D154C"/>
    <w:rsid w:val="496D154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7</TotalTime>
  <ScaleCrop>false</ScaleCrop>
  <LinksUpToDate>false</LinksUpToDate>
  <CharactersWithSpaces>0</CharactersWithSpaces>
  <Application>WPS Office_11.1.0.10495_F1E327BC-269C-435d-A152-05C5408002CA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2021-05-14T03:04:00Z</dcterms:created>
  <dc:creator>Administrator</dc:creator>
  <cp:lastModifiedBy>Administrator</cp:lastModifiedBy>
  <dcterms:modified xsi:type="dcterms:W3CDTF">2021-05-14T03:11:53Z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2052-11.1.0.10495</vt:lpwstr>
  </property>
  <property fmtid="{D5CDD505-2E9C-101B-9397-08002B2CF9AE}" pid="3" name="ICV">
    <vt:lpwstr>B61BA4674E254E9F9F44A687F8977D8D</vt:lpwstr>
  </property>
</Properties>
</file>