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FED68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威海市文登区教育和体育局</w:t>
      </w:r>
    </w:p>
    <w:p w14:paraId="55CD9F8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进一步加强和改进普通高中艺术</w:t>
      </w:r>
      <w:r>
        <w:rPr>
          <w:rFonts w:hint="default" w:ascii="Times New Roman" w:hAnsi="Times New Roman" w:eastAsia="方正小标宋简体" w:cs="Times New Roman"/>
          <w:sz w:val="44"/>
          <w:szCs w:val="44"/>
          <w:lang w:eastAsia="zh-CN"/>
        </w:rPr>
        <w:t>体育</w:t>
      </w:r>
      <w:r>
        <w:rPr>
          <w:rFonts w:hint="default" w:ascii="Times New Roman" w:hAnsi="Times New Roman" w:eastAsia="方正小标宋简体" w:cs="Times New Roman"/>
          <w:sz w:val="44"/>
          <w:szCs w:val="44"/>
        </w:rPr>
        <w:t>特长生</w:t>
      </w:r>
    </w:p>
    <w:p w14:paraId="6B463CD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招生</w:t>
      </w:r>
      <w:r>
        <w:rPr>
          <w:rFonts w:hint="default" w:ascii="Times New Roman" w:hAnsi="Times New Roman" w:eastAsia="方正小标宋简体" w:cs="Times New Roman"/>
          <w:sz w:val="44"/>
          <w:szCs w:val="44"/>
          <w:lang w:eastAsia="zh-CN"/>
        </w:rPr>
        <w:t>录取</w:t>
      </w:r>
      <w:r>
        <w:rPr>
          <w:rFonts w:hint="default" w:ascii="Times New Roman" w:hAnsi="Times New Roman" w:eastAsia="方正小标宋简体" w:cs="Times New Roman"/>
          <w:sz w:val="44"/>
          <w:szCs w:val="44"/>
        </w:rPr>
        <w:t>工作</w:t>
      </w:r>
      <w:r>
        <w:rPr>
          <w:rFonts w:hint="default" w:ascii="Times New Roman" w:hAnsi="Times New Roman" w:eastAsia="方正小标宋简体" w:cs="Times New Roman"/>
          <w:sz w:val="44"/>
          <w:szCs w:val="44"/>
          <w:lang w:eastAsia="zh-CN"/>
        </w:rPr>
        <w:t>实施方案</w:t>
      </w:r>
    </w:p>
    <w:p w14:paraId="4EBCDA3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威文教体字〔2025〕3</w:t>
      </w:r>
      <w:bookmarkStart w:id="0" w:name="_GoBack"/>
      <w:bookmarkEnd w:id="0"/>
      <w:r>
        <w:rPr>
          <w:rFonts w:hint="default" w:ascii="Times New Roman" w:hAnsi="Times New Roman" w:eastAsia="仿宋_GB2312" w:cs="Times New Roman"/>
          <w:sz w:val="32"/>
          <w:szCs w:val="32"/>
          <w:lang w:eastAsia="zh-CN"/>
        </w:rPr>
        <w:t>号</w:t>
      </w:r>
    </w:p>
    <w:p w14:paraId="0F3D8A9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lang w:eastAsia="zh-CN"/>
        </w:rPr>
      </w:pPr>
    </w:p>
    <w:p w14:paraId="7ABF707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各学校、事业单位，机关各科室：</w:t>
      </w:r>
    </w:p>
    <w:p w14:paraId="5DCA790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为深入贯彻党的二十大精神和习近平总书记关于教育的重要论述，落实《深化新时代教育评价改革总体方案》《关于全面加强和改进新时代学校美育工作的意见》《关于全面加强和改进新时代学校体育工作的意见》等文件要求，结合《山东省进一步加强和改进普通高等学校艺术类专业考试招生工作实施方案》《山东省夏季高考体育类专业考试招生调整优化实施方案》《威海市教育局关于优化调整中心城区中考艺术体育特长生招考政策的通知》精神及我区实际，借鉴部分地区做法，在广泛征求意见建议的基础上，现就进一步加强和改进普通高中艺术体育特长生招生录取工作，制定本方案，自</w:t>
      </w:r>
      <w:r>
        <w:rPr>
          <w:rFonts w:hint="default" w:ascii="Times New Roman" w:hAnsi="Times New Roman" w:eastAsia="仿宋_GB2312" w:cs="Times New Roman"/>
          <w:sz w:val="32"/>
          <w:szCs w:val="32"/>
          <w:lang w:val="en-US" w:eastAsia="zh-CN"/>
        </w:rPr>
        <w:t>2025年起实施。</w:t>
      </w:r>
    </w:p>
    <w:p w14:paraId="0275F1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一、总体要求</w:t>
      </w:r>
    </w:p>
    <w:p w14:paraId="1F2430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（一）指导思想。</w:t>
      </w:r>
      <w:r>
        <w:rPr>
          <w:rFonts w:hint="default" w:ascii="Times New Roman" w:hAnsi="Times New Roman" w:eastAsia="仿宋_GB2312" w:cs="Times New Roman"/>
          <w:sz w:val="32"/>
          <w:szCs w:val="32"/>
          <w:lang w:eastAsia="zh-CN"/>
        </w:rPr>
        <w:t>以习近平新时代中国特色社会主义思想为指导，全面贯彻党的教育方针，落实立德树人根本任务，适应经济社会发展需要，从有利于促进学生健康成长、科学选拔人才、维护教育公平出发，进一步加强和改进普通高中艺术体育特长生招生录取工作，推动构建学生德智体美劳全面发展的艺术体育特长生选拔评价体系，为建成文化强国、教育强国提供人才支撑。</w:t>
      </w:r>
    </w:p>
    <w:p w14:paraId="3A9FD7C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（二）基本原则。</w:t>
      </w:r>
      <w:r>
        <w:rPr>
          <w:rFonts w:hint="default" w:ascii="Times New Roman" w:hAnsi="Times New Roman" w:eastAsia="仿宋_GB2312" w:cs="Times New Roman"/>
          <w:sz w:val="32"/>
          <w:szCs w:val="32"/>
          <w:lang w:eastAsia="zh-CN"/>
        </w:rPr>
        <w:t>坚持育人为本，遵循正确育人导向，践行社会主义核心价值观，落实“五育”并举，增强文化自信，促进学生健康成长。提高选拔质量，适应全面建设社会主义现代化国家对高素质艺术体育人才的需要，深化专业测试内容改革，改进专业测试方式，完善专业测试评价标准，注重学生综合素质。加强分类指导，引导普通高中立足艺术体育专业特点和培养定位，优化完善培养模式。健全监督制约机制，保障招生录取机会公平、程序公开、结果公正。</w:t>
      </w:r>
    </w:p>
    <w:p w14:paraId="18869D0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（三）总体目标。</w:t>
      </w:r>
      <w:r>
        <w:rPr>
          <w:rFonts w:hint="default" w:ascii="Times New Roman" w:hAnsi="Times New Roman" w:eastAsia="仿宋_GB2312" w:cs="Times New Roman"/>
          <w:sz w:val="32"/>
          <w:szCs w:val="32"/>
          <w:lang w:eastAsia="zh-CN"/>
        </w:rPr>
        <w:t>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年起，基本建立以初中学业考试为基础、专业测试为主体，依据中考文化成绩、专业测试成绩，参考学生初中综合素质评价，分类多元的普通高中艺术体育特长生招生录取制度，基本形成促进公平、科学选才、监督有力的艺术体育特长生选拔评价体系。</w:t>
      </w:r>
    </w:p>
    <w:p w14:paraId="3A5804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二、主要任务</w:t>
      </w:r>
    </w:p>
    <w:p w14:paraId="4AE000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（一）推进普通高中特色发展</w:t>
      </w:r>
    </w:p>
    <w:p w14:paraId="37D7D2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1.明晰培养定位。结合办学实际，找准办学定位，突出办学特色，构建与普通高等学校专业考试招生相适应的培养方式，以内涵发展，培养具有扎实专业基础和文化素质的艺术体育人才。</w:t>
      </w:r>
    </w:p>
    <w:p w14:paraId="2BC4206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2.优化专业布局。综合考虑办学条件、师资队伍、高考状况等，加强对普通高中艺术体育特长生招生规模和结构的宏观调控，优化艺术体育特长生专业布局。</w:t>
      </w:r>
    </w:p>
    <w:p w14:paraId="0C8D838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（二）提升专业测试水平</w:t>
      </w:r>
    </w:p>
    <w:p w14:paraId="2DD1538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1.优化专业设置。对照山东省高考艺术类、体育类专业类别，结合实际，优化我区普通高中艺术体育特长生招生专业设置。</w:t>
      </w:r>
    </w:p>
    <w:p w14:paraId="452C2EA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）艺术特长生。</w:t>
      </w:r>
      <w:r>
        <w:rPr>
          <w:rFonts w:hint="default" w:ascii="Times New Roman" w:hAnsi="Times New Roman" w:eastAsia="仿宋_GB2312" w:cs="Times New Roman"/>
          <w:sz w:val="32"/>
          <w:szCs w:val="32"/>
          <w:lang w:val="en-US" w:eastAsia="zh-CN"/>
        </w:rPr>
        <w:t>设美术、软笔书法、音乐、舞蹈4个专业，2025年专业测试内容及分值同2024年保持不变（威文教体字〔2024〕19号文件）。2026年起，美术、音乐、舞蹈专业测试内容及分值做以下调整：</w:t>
      </w:r>
    </w:p>
    <w:p w14:paraId="58C656E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①美术专业测试静物素描满分由70分调整为50分，专业测试时长由150分钟调整为120分钟；人物速写满分由30分调整为50分，专业测试时长由30分钟调整为60分钟。</w:t>
      </w:r>
    </w:p>
    <w:p w14:paraId="59EFDF8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②音乐专业测试在原模唱、模击、器乐、声乐科目的基础上，增加视唱科目。素质方面，视唱满分10分，模唱满分由6分调整为10分，模击满分由6分调整为10分。技能方面，器乐、声乐不区分主项、副项，2个科目测试原始分满分各100分，原始分高者默认为主项、低者默认为副项；主项满分50分，主项最终得分=主项原始分×50%，副项满分20分，副项最终得分=副项原始分×20%。</w:t>
      </w:r>
    </w:p>
    <w:p w14:paraId="232B7A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③舞蹈专业测试包括基本功、自选舞蹈表演2个科目，其中，基本功满分40分、自选舞蹈表演满分60分。</w:t>
      </w:r>
    </w:p>
    <w:p w14:paraId="6D7E92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）体育特长生。</w:t>
      </w:r>
      <w:r>
        <w:rPr>
          <w:rFonts w:hint="default" w:ascii="Times New Roman" w:hAnsi="Times New Roman" w:eastAsia="仿宋_GB2312" w:cs="Times New Roman"/>
          <w:sz w:val="32"/>
          <w:szCs w:val="32"/>
          <w:lang w:val="en-US" w:eastAsia="zh-CN"/>
        </w:rPr>
        <w:t>设田径、篮球、足球、排球4个专业，专业测试内容及分值同2024年保持不变（威文教体字〔2024〕19号文件）。</w:t>
      </w:r>
    </w:p>
    <w:p w14:paraId="70B2C6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具体的专业测试办法与评分标准另行通知。</w:t>
      </w:r>
    </w:p>
    <w:p w14:paraId="1AE1C1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.健全考评人员遴选机制。逐步扩大专业测试评委遴选范围，优化评委人员组成结构，适当增加评委人数（原则上，每个专业的专业测试评委人数不低于</w:t>
      </w:r>
      <w:r>
        <w:rPr>
          <w:rFonts w:hint="default" w:ascii="Times New Roman" w:hAnsi="Times New Roman" w:eastAsia="仿宋_GB2312" w:cs="Times New Roman"/>
          <w:sz w:val="32"/>
          <w:szCs w:val="32"/>
          <w:lang w:val="en-US" w:eastAsia="zh-CN"/>
        </w:rPr>
        <w:t>7人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逐步建立艺术体育特长生考评人员和考生特殊关系申报制度，凡在规定时间内有指导与被指导关系或有亲属关系及其他利害关系的考评人员和考生，均须按要求进行申报，并严格执行回避制度。区教体系统工作人员的子女或其他亲属报考艺术体育特长生的，须向区教体局报备并在文登教育网和学校公示栏公示，相关工作人员全程回避。严格执行违规人员“黑名单”制度，对于隐瞒不报、弄虚作假、违规违纪的人员，按有关规定严肃处理。</w:t>
      </w:r>
    </w:p>
    <w:p w14:paraId="1C2806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eastAsia="zh-CN"/>
        </w:rPr>
        <w:t>.加强专业测试规范管理。实行区教体局行政部门统一组织、区招生考试中心具体实施的管理体制。进一步强化专业测试组织管理，按照保密工作规定，完善专业测试场地建设、设施设备优化、命题、制卷、试卷流转、保管等各环节、全流程管理。严把专业测试入口关，加强考生身份核验，严防替考；严把专业测试实施关，严防舞弊；严把专业测试评分关，评委现场独立打分，全程录音录像，确保评分公平公正。</w:t>
      </w:r>
    </w:p>
    <w:p w14:paraId="0DBEBDF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（三）完善招生录取机制</w:t>
      </w:r>
    </w:p>
    <w:p w14:paraId="7F6E28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1.按“文化+专业”并重的原则择优录取。</w:t>
      </w:r>
      <w:r>
        <w:rPr>
          <w:rFonts w:hint="default" w:ascii="Times New Roman" w:hAnsi="Times New Roman" w:eastAsia="仿宋_GB2312" w:cs="Times New Roman"/>
          <w:sz w:val="32"/>
          <w:szCs w:val="32"/>
          <w:lang w:eastAsia="zh-CN"/>
        </w:rPr>
        <w:t>根据专业人才选拔培养要求，逐步扭转普通高中艺术体育特长生招生录取“重专业、轻文化”倾向。202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年起，中考文化成绩方面，艺术特长生需达到普通生分数线的85%，体育特长生需达到普通生分数线的</w:t>
      </w:r>
      <w:r>
        <w:rPr>
          <w:rFonts w:hint="default" w:ascii="Times New Roman" w:hAnsi="Times New Roman" w:eastAsia="仿宋_GB2312" w:cs="Times New Roman"/>
          <w:sz w:val="32"/>
          <w:szCs w:val="32"/>
          <w:lang w:val="en-US" w:eastAsia="zh-CN"/>
        </w:rPr>
        <w:t>75</w:t>
      </w:r>
      <w:r>
        <w:rPr>
          <w:rFonts w:hint="default" w:ascii="Times New Roman" w:hAnsi="Times New Roman" w:eastAsia="仿宋_GB2312" w:cs="Times New Roman"/>
          <w:sz w:val="32"/>
          <w:szCs w:val="32"/>
          <w:lang w:eastAsia="zh-CN"/>
        </w:rPr>
        <w:t>%；专业测试方面，艺术特长生</w:t>
      </w:r>
      <w:r>
        <w:rPr>
          <w:rFonts w:hint="default" w:ascii="Times New Roman" w:hAnsi="Times New Roman" w:eastAsia="仿宋_GB2312" w:cs="Times New Roman"/>
          <w:color w:val="auto"/>
          <w:sz w:val="32"/>
          <w:szCs w:val="32"/>
          <w:highlight w:val="none"/>
          <w:lang w:val="en-US" w:eastAsia="zh-CN"/>
        </w:rPr>
        <w:t>按招生计划1:2的比例，体育特长生按招生计划1:1.5的比例，依据专业测试分数由高到低确定合格人选，专业测试人数达不到招生计划相应比例的，按相应比例核减招生计划。</w:t>
      </w:r>
    </w:p>
    <w:p w14:paraId="1299F31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依据中考文化成绩、专业测试成绩按比例合成的综合成绩进行志愿择优录取。</w:t>
      </w:r>
      <w:r>
        <w:rPr>
          <w:rFonts w:hint="default" w:ascii="Times New Roman" w:hAnsi="Times New Roman" w:eastAsia="仿宋_GB2312" w:cs="Times New Roman"/>
          <w:sz w:val="32"/>
          <w:szCs w:val="32"/>
          <w:lang w:val="en-US" w:eastAsia="zh-CN"/>
        </w:rPr>
        <w:t>综合成绩计算办法如下：</w:t>
      </w:r>
    </w:p>
    <w:p w14:paraId="13228E32">
      <w:pPr>
        <w:keepNext w:val="0"/>
        <w:keepLines w:val="0"/>
        <w:pageBreakBefore w:val="0"/>
        <w:widowControl w:val="0"/>
        <w:kinsoku/>
        <w:wordWrap/>
        <w:overflowPunct/>
        <w:topLinePunct w:val="0"/>
        <w:autoSpaceDE/>
        <w:autoSpaceDN/>
        <w:bidi w:val="0"/>
        <w:adjustRightInd/>
        <w:snapToGrid/>
        <w:spacing w:line="560" w:lineRule="exact"/>
        <w:ind w:firstLine="42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cs="Times New Roman"/>
        </w:rPr>
        <w:drawing>
          <wp:anchor distT="0" distB="0" distL="114300" distR="114300" simplePos="0" relativeHeight="251659264" behindDoc="0" locked="0" layoutInCell="1" allowOverlap="1">
            <wp:simplePos x="0" y="0"/>
            <wp:positionH relativeFrom="column">
              <wp:posOffset>395605</wp:posOffset>
            </wp:positionH>
            <wp:positionV relativeFrom="paragraph">
              <wp:posOffset>78105</wp:posOffset>
            </wp:positionV>
            <wp:extent cx="4889500" cy="586105"/>
            <wp:effectExtent l="0" t="0" r="6350" b="4445"/>
            <wp:wrapNone/>
            <wp:docPr id="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pic:cNvPicPr>
                      <a:picLocks noChangeAspect="1"/>
                    </pic:cNvPicPr>
                  </pic:nvPicPr>
                  <pic:blipFill>
                    <a:blip r:embed="rId5"/>
                    <a:stretch>
                      <a:fillRect/>
                    </a:stretch>
                  </pic:blipFill>
                  <pic:spPr>
                    <a:xfrm>
                      <a:off x="0" y="0"/>
                      <a:ext cx="4889500" cy="586105"/>
                    </a:xfrm>
                    <a:prstGeom prst="rect">
                      <a:avLst/>
                    </a:prstGeom>
                    <a:noFill/>
                    <a:ln>
                      <a:noFill/>
                    </a:ln>
                  </pic:spPr>
                </pic:pic>
              </a:graphicData>
            </a:graphic>
          </wp:anchor>
        </w:drawing>
      </w:r>
    </w:p>
    <w:p w14:paraId="2D525A05">
      <w:pPr>
        <w:pStyle w:val="8"/>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lang w:val="en-US" w:eastAsia="zh-CN"/>
        </w:rPr>
      </w:pPr>
      <w:r>
        <w:rPr>
          <w:rFonts w:hint="default" w:ascii="Times New Roman" w:hAnsi="Times New Roman" w:cs="Times New Roman"/>
        </w:rPr>
        <w:drawing>
          <wp:anchor distT="0" distB="0" distL="114300" distR="114300" simplePos="0" relativeHeight="251660288" behindDoc="0" locked="0" layoutInCell="1" allowOverlap="1">
            <wp:simplePos x="0" y="0"/>
            <wp:positionH relativeFrom="column">
              <wp:posOffset>387985</wp:posOffset>
            </wp:positionH>
            <wp:positionV relativeFrom="paragraph">
              <wp:posOffset>338455</wp:posOffset>
            </wp:positionV>
            <wp:extent cx="4885690" cy="629920"/>
            <wp:effectExtent l="0" t="0" r="10160" b="17780"/>
            <wp:wrapNone/>
            <wp:docPr id="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
                    <pic:cNvPicPr>
                      <a:picLocks noChangeAspect="1"/>
                    </pic:cNvPicPr>
                  </pic:nvPicPr>
                  <pic:blipFill>
                    <a:blip r:embed="rId6"/>
                    <a:stretch>
                      <a:fillRect/>
                    </a:stretch>
                  </pic:blipFill>
                  <pic:spPr>
                    <a:xfrm>
                      <a:off x="0" y="0"/>
                      <a:ext cx="4885690" cy="629920"/>
                    </a:xfrm>
                    <a:prstGeom prst="rect">
                      <a:avLst/>
                    </a:prstGeom>
                    <a:noFill/>
                    <a:ln>
                      <a:noFill/>
                    </a:ln>
                  </pic:spPr>
                </pic:pic>
              </a:graphicData>
            </a:graphic>
          </wp:anchor>
        </w:drawing>
      </w:r>
    </w:p>
    <w:p w14:paraId="72C96C7E">
      <w:pPr>
        <w:keepNext w:val="0"/>
        <w:keepLines w:val="0"/>
        <w:pageBreakBefore w:val="0"/>
        <w:widowControl w:val="0"/>
        <w:kinsoku/>
        <w:wordWrap/>
        <w:overflowPunct/>
        <w:topLinePunct w:val="0"/>
        <w:autoSpaceDE/>
        <w:autoSpaceDN/>
        <w:bidi w:val="0"/>
        <w:adjustRightInd/>
        <w:snapToGrid/>
        <w:spacing w:line="560" w:lineRule="exact"/>
        <w:ind w:firstLine="960" w:firstLineChars="300"/>
        <w:jc w:val="both"/>
        <w:textAlignment w:val="auto"/>
        <w:rPr>
          <w:rFonts w:hint="default" w:ascii="Times New Roman" w:hAnsi="Times New Roman" w:eastAsia="仿宋_GB2312" w:cs="Times New Roman"/>
          <w:sz w:val="32"/>
          <w:szCs w:val="32"/>
          <w:highlight w:val="red"/>
          <w:lang w:val="en-US" w:eastAsia="zh-CN"/>
        </w:rPr>
      </w:pPr>
    </w:p>
    <w:p w14:paraId="711F165A">
      <w:pPr>
        <w:pStyle w:val="8"/>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lang w:val="en-US" w:eastAsia="zh-CN"/>
        </w:rPr>
      </w:pPr>
    </w:p>
    <w:p w14:paraId="27A105F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专业测试合格人选的确定、招生计划的核减，校际间不做合并和调整。核减的特长生招生计划，纳入相应学校普通生招生计划；因中考文化成绩过低（未达到普通生分数线相应比例）无法录取而造成的招生计划缺额，自动取消，不挪他用。</w:t>
      </w:r>
    </w:p>
    <w:p w14:paraId="217B209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2.进一步改进优秀运动员选拔方式。对不同级别的优秀运动员实施破格录取、专业免考、放宽学业水平考试考查科目等级以及综合素质评价等级政策，吸纳更多体育专业突出人才。</w:t>
      </w:r>
    </w:p>
    <w:p w14:paraId="73029F6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初中阶段获得体育主管部门颁发的“国家一级运动员”及以上等级证书（国家体育总局网站可查询）的考生，以及二中男篮、实验中学女篮初中特色运动队，在初三或初四阶段获得篮球威海市级冠军或省级前6名的主力球员（主力队员不超过报名总人数的三分之一），直接录取，不占学校体育特长生招生计划。</w:t>
      </w:r>
    </w:p>
    <w:p w14:paraId="02BAD45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初中阶段获得体育主管部门颁发的“国家二级运动员”等级证书（国家体育总局网站可查询）且等级证书大项与中考报考大项一致的考生，免予体育专业测试，专业成绩按照满分折算计入综合成绩。</w:t>
      </w:r>
    </w:p>
    <w:p w14:paraId="4655F8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录取时满足下列条件之一的考生，其道德与法治、地理、历史、生物学、信息科技、理化生实验技能6项考试科目和音乐、美术、综合实践活动、地方课程与学校课程5项考查科目以及综合素质评价的等级不再作为普通高中招生录取的必备条件。</w:t>
      </w:r>
    </w:p>
    <w:p w14:paraId="6BEF4F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（1）初中阶段获得体育主管部门颁发的“国家二级运动员”等级证书（国家体育总局网站可查询）的考生；</w:t>
      </w:r>
    </w:p>
    <w:p w14:paraId="6BF6AA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初中阶段在教育或体育主管部门组织的省级及以上体育比赛中取得单项或集体项目前8名的考生（团体总分排名除外），比赛仅限于山东省运动会、中学生运动会、中小学体育联赛、锦标赛及教育部、山东省教育厅主办的其他体育赛事；</w:t>
      </w:r>
    </w:p>
    <w:p w14:paraId="57AA1F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（3）初中阶段在威海市教育局或威海市体育局主办的市级比赛中取得单项或集体项目前2名的考生（团体总分排名除外），比赛仅限于市运动会、中小学体育联赛和锦标赛及威海市教育局主办的其他赛事。</w:t>
      </w:r>
    </w:p>
    <w:p w14:paraId="418955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以上运动员等级证书、比赛成绩需在初中阶段获得，二中男篮、实验中学女篮比赛成绩需要在初三、初四阶段获得，时间截至考生初四年级第一学期末，寒假前一天。</w:t>
      </w:r>
    </w:p>
    <w:p w14:paraId="1E2A67F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sz w:val="32"/>
          <w:szCs w:val="32"/>
          <w:lang w:val="en-US" w:eastAsia="zh-CN"/>
        </w:rPr>
        <w:t>（四）</w:t>
      </w:r>
      <w:r>
        <w:rPr>
          <w:rFonts w:hint="default" w:ascii="Times New Roman" w:hAnsi="Times New Roman" w:eastAsia="楷体_GB2312" w:cs="Times New Roman"/>
          <w:sz w:val="32"/>
          <w:szCs w:val="32"/>
        </w:rPr>
        <w:t>健全监督管理机制</w:t>
      </w:r>
    </w:p>
    <w:p w14:paraId="755BE20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1.强化组织监管责任。区教体局行政部门负责制定艺术体育特长生招生录取工作实施方案，监督艺术体育特长生招生录取工作；区招生考试中心负责艺术体育特长生报名、专业测试、成绩公示、录取等工作。严厉打击培训机构组织或参与作弊、干扰招生秩序、虚假招生宣传等违规违纪行为。</w:t>
      </w:r>
    </w:p>
    <w:p w14:paraId="4B4F12F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强化招生信息公开。艺术体育特长生招生计划等信息，随当年初中学业考试及普通高中招生录取工作意见（中考文件），及时准确在官方网站公布；专业测试成绩等信息，及时准确在官方网站公示，畅通投诉举报渠道。</w:t>
      </w:r>
    </w:p>
    <w:p w14:paraId="14769A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加大违规违纪查处力度。严格执行招生政策，严格遵守有关规定，对于有违规违纪行为的工作人员和考生，严肃处理，并追究相关人员责任。对于通过弄虚作假、徇私舞弊等方式骗取录取资格的考生以及违规录取的考生，一律取消入学资格，并记入个人档案。</w:t>
      </w:r>
    </w:p>
    <w:p w14:paraId="041E529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三、保障措施</w:t>
      </w:r>
    </w:p>
    <w:p w14:paraId="7498B8A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（一）提高思想认识。</w:t>
      </w:r>
      <w:r>
        <w:rPr>
          <w:rFonts w:hint="default" w:ascii="Times New Roman" w:hAnsi="Times New Roman" w:eastAsia="仿宋_GB2312" w:cs="Times New Roman"/>
          <w:sz w:val="32"/>
          <w:szCs w:val="32"/>
          <w:lang w:val="en-US" w:eastAsia="zh-CN"/>
        </w:rPr>
        <w:t>要充分认识到加强和改进普通高中艺术体育特长生招生录取工作是贯彻落实国家、省、市决策部署，进一步促进教育公平、科学选才、高质量育才的重要举措，是中考改革的重要内容，事关广大考生切身利益。</w:t>
      </w:r>
    </w:p>
    <w:p w14:paraId="2AB3BDB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（二）强化推进落实。</w:t>
      </w:r>
      <w:r>
        <w:rPr>
          <w:rFonts w:hint="default" w:ascii="Times New Roman" w:hAnsi="Times New Roman" w:eastAsia="仿宋_GB2312" w:cs="Times New Roman"/>
          <w:sz w:val="32"/>
          <w:szCs w:val="32"/>
          <w:lang w:val="en-US" w:eastAsia="zh-CN"/>
        </w:rPr>
        <w:t>要坚持问题导向、目标导向和结果导向相结合，细化工作措施，明确责任分工，密切协同配合。要严格规范管理，科学高效实施，确保改革落地见效。</w:t>
      </w:r>
    </w:p>
    <w:p w14:paraId="49911B4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（三）深化教体融合。</w:t>
      </w:r>
      <w:r>
        <w:rPr>
          <w:rFonts w:hint="default" w:ascii="Times New Roman" w:hAnsi="Times New Roman" w:eastAsia="仿宋_GB2312" w:cs="Times New Roman"/>
          <w:sz w:val="32"/>
          <w:szCs w:val="32"/>
          <w:lang w:val="en-US" w:eastAsia="zh-CN"/>
        </w:rPr>
        <w:t>要充分发挥教体系统优势，统筹利用资金、教练员和场地设施等资源，建立“共培共用”机制，统筹推动文化教学、竞技训练“双提升”，打通运动员输送通道，确保把优秀的学生“招进来”“送上去”。</w:t>
      </w:r>
    </w:p>
    <w:p w14:paraId="277588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（四）加强宣传服务。</w:t>
      </w:r>
      <w:r>
        <w:rPr>
          <w:rFonts w:hint="default" w:ascii="Times New Roman" w:hAnsi="Times New Roman" w:eastAsia="仿宋_GB2312" w:cs="Times New Roman"/>
          <w:sz w:val="32"/>
          <w:szCs w:val="32"/>
          <w:lang w:val="en-US" w:eastAsia="zh-CN"/>
        </w:rPr>
        <w:t>要加大政策培训和宣传解读力度，及时回应社会关切，解疑答惑、凝聚共识，营造良好环境和氛围。要及时研究解决工作推进过程中遇到的新情况、新问题，不断总结经验，优化完善措施。</w:t>
      </w:r>
    </w:p>
    <w:p w14:paraId="392416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361593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val="en-US" w:eastAsia="zh-CN"/>
        </w:rPr>
      </w:pPr>
    </w:p>
    <w:p w14:paraId="12EB0E9A">
      <w:pPr>
        <w:keepNext w:val="0"/>
        <w:keepLines w:val="0"/>
        <w:pageBreakBefore w:val="0"/>
        <w:widowControl w:val="0"/>
        <w:kinsoku/>
        <w:wordWrap/>
        <w:overflowPunct/>
        <w:topLinePunct w:val="0"/>
        <w:autoSpaceDE/>
        <w:autoSpaceDN/>
        <w:bidi w:val="0"/>
        <w:adjustRightInd/>
        <w:snapToGrid/>
        <w:spacing w:line="560" w:lineRule="exact"/>
        <w:ind w:left="4200" w:leftChars="0" w:firstLine="420" w:firstLine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威海市文登区教育和体育局</w:t>
      </w:r>
    </w:p>
    <w:p w14:paraId="2D0492E2">
      <w:pPr>
        <w:keepNext w:val="0"/>
        <w:keepLines w:val="0"/>
        <w:pageBreakBefore w:val="0"/>
        <w:widowControl w:val="0"/>
        <w:kinsoku/>
        <w:wordWrap/>
        <w:overflowPunct/>
        <w:topLinePunct w:val="0"/>
        <w:autoSpaceDE/>
        <w:autoSpaceDN/>
        <w:bidi w:val="0"/>
        <w:adjustRightInd/>
        <w:snapToGrid/>
        <w:spacing w:line="560" w:lineRule="exact"/>
        <w:ind w:left="4200" w:leftChars="0" w:firstLine="960" w:firstLineChars="3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2025年1月14日</w:t>
      </w:r>
    </w:p>
    <w:p w14:paraId="01737960">
      <w:pPr>
        <w:keepNext w:val="0"/>
        <w:keepLines w:val="0"/>
        <w:pageBreakBefore w:val="0"/>
        <w:widowControl w:val="0"/>
        <w:kinsoku/>
        <w:wordWrap/>
        <w:overflowPunct/>
        <w:topLinePunct w:val="0"/>
        <w:autoSpaceDE w:val="0"/>
        <w:autoSpaceDN w:val="0"/>
        <w:bidi w:val="0"/>
        <w:adjustRightInd w:val="0"/>
        <w:snapToGrid/>
        <w:spacing w:line="560" w:lineRule="exact"/>
        <w:ind w:firstLine="210" w:firstLineChars="100"/>
        <w:jc w:val="left"/>
        <w:textAlignment w:val="auto"/>
        <w:rPr>
          <w:rFonts w:hint="default"/>
          <w:lang w:val="en-US" w:eastAsia="zh-CN"/>
        </w:rPr>
      </w:pPr>
    </w:p>
    <w:sectPr>
      <w:footerReference r:id="rId3" w:type="default"/>
      <w:pgSz w:w="11906" w:h="16838"/>
      <w:pgMar w:top="1928" w:right="1474" w:bottom="170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F5F4A">
    <w:pPr>
      <w:pStyle w:val="2"/>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7D1D2D">
                          <w:pPr>
                            <w:pStyle w:val="2"/>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437D1D2D">
                    <w:pPr>
                      <w:pStyle w:val="2"/>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mYTFlYTBmMDFmNmM2ZDRlMmYxMDE4MTQ3YjY3OTIifQ=="/>
  </w:docVars>
  <w:rsids>
    <w:rsidRoot w:val="00000000"/>
    <w:rsid w:val="00523EB0"/>
    <w:rsid w:val="00F431B9"/>
    <w:rsid w:val="027C16B8"/>
    <w:rsid w:val="02D768EE"/>
    <w:rsid w:val="039D63F5"/>
    <w:rsid w:val="03BC7892"/>
    <w:rsid w:val="0462668B"/>
    <w:rsid w:val="054E09BE"/>
    <w:rsid w:val="06823015"/>
    <w:rsid w:val="06B62CBE"/>
    <w:rsid w:val="07204B89"/>
    <w:rsid w:val="072145DC"/>
    <w:rsid w:val="075A0C47"/>
    <w:rsid w:val="08065580"/>
    <w:rsid w:val="08071A24"/>
    <w:rsid w:val="08D00067"/>
    <w:rsid w:val="093323A4"/>
    <w:rsid w:val="097F383C"/>
    <w:rsid w:val="09842C00"/>
    <w:rsid w:val="09C83435"/>
    <w:rsid w:val="09EF6C13"/>
    <w:rsid w:val="0A622F41"/>
    <w:rsid w:val="0AE0030A"/>
    <w:rsid w:val="0B1A1A6E"/>
    <w:rsid w:val="0B5E0B01"/>
    <w:rsid w:val="0B84338B"/>
    <w:rsid w:val="0B8B2B8D"/>
    <w:rsid w:val="0BF978D5"/>
    <w:rsid w:val="0CC00C1F"/>
    <w:rsid w:val="0CC71781"/>
    <w:rsid w:val="0D7D62E4"/>
    <w:rsid w:val="0D7E55E5"/>
    <w:rsid w:val="0D957AD2"/>
    <w:rsid w:val="0DB00467"/>
    <w:rsid w:val="0E9658AF"/>
    <w:rsid w:val="0F124154"/>
    <w:rsid w:val="0FBA55CD"/>
    <w:rsid w:val="10D91A83"/>
    <w:rsid w:val="12F232D0"/>
    <w:rsid w:val="130D1EB8"/>
    <w:rsid w:val="131E2317"/>
    <w:rsid w:val="13392CAD"/>
    <w:rsid w:val="13C62793"/>
    <w:rsid w:val="13F37300"/>
    <w:rsid w:val="14215C1B"/>
    <w:rsid w:val="1433594E"/>
    <w:rsid w:val="1437543F"/>
    <w:rsid w:val="148937C0"/>
    <w:rsid w:val="157E55BA"/>
    <w:rsid w:val="1594066F"/>
    <w:rsid w:val="16AA639C"/>
    <w:rsid w:val="16D056D6"/>
    <w:rsid w:val="16F77107"/>
    <w:rsid w:val="176C53FF"/>
    <w:rsid w:val="17FB4A7F"/>
    <w:rsid w:val="187529D9"/>
    <w:rsid w:val="18980476"/>
    <w:rsid w:val="19085D17"/>
    <w:rsid w:val="19DD0836"/>
    <w:rsid w:val="19E716B5"/>
    <w:rsid w:val="1A3441CE"/>
    <w:rsid w:val="1A396A26"/>
    <w:rsid w:val="1A654388"/>
    <w:rsid w:val="1A7F18ED"/>
    <w:rsid w:val="1B966EEF"/>
    <w:rsid w:val="1BE35EAC"/>
    <w:rsid w:val="1CD13F56"/>
    <w:rsid w:val="1D1C78C7"/>
    <w:rsid w:val="1DC67833"/>
    <w:rsid w:val="1E2D340E"/>
    <w:rsid w:val="1E3E73CA"/>
    <w:rsid w:val="1FA6791C"/>
    <w:rsid w:val="20931C4F"/>
    <w:rsid w:val="22154A8F"/>
    <w:rsid w:val="22347461"/>
    <w:rsid w:val="22BF14F8"/>
    <w:rsid w:val="22DE7F44"/>
    <w:rsid w:val="22F62969"/>
    <w:rsid w:val="23563407"/>
    <w:rsid w:val="23616034"/>
    <w:rsid w:val="23B56179"/>
    <w:rsid w:val="240C1134"/>
    <w:rsid w:val="24286AD0"/>
    <w:rsid w:val="2466767A"/>
    <w:rsid w:val="24C90335"/>
    <w:rsid w:val="25757B75"/>
    <w:rsid w:val="261E1A90"/>
    <w:rsid w:val="26D703BB"/>
    <w:rsid w:val="273D2914"/>
    <w:rsid w:val="27435A51"/>
    <w:rsid w:val="277B168E"/>
    <w:rsid w:val="27D35027"/>
    <w:rsid w:val="28AF15F0"/>
    <w:rsid w:val="28D215B2"/>
    <w:rsid w:val="29A9603F"/>
    <w:rsid w:val="29AF561F"/>
    <w:rsid w:val="29D1040C"/>
    <w:rsid w:val="29E928DF"/>
    <w:rsid w:val="29FA07F7"/>
    <w:rsid w:val="2B2E7A8E"/>
    <w:rsid w:val="2B33475A"/>
    <w:rsid w:val="2C3167C0"/>
    <w:rsid w:val="2C5F50DB"/>
    <w:rsid w:val="2C6721E1"/>
    <w:rsid w:val="2D8E53E8"/>
    <w:rsid w:val="2DAD00C8"/>
    <w:rsid w:val="2DD76E90"/>
    <w:rsid w:val="2E150147"/>
    <w:rsid w:val="2E224612"/>
    <w:rsid w:val="2EC41B6D"/>
    <w:rsid w:val="2F8B7CCC"/>
    <w:rsid w:val="30073ABF"/>
    <w:rsid w:val="30197C97"/>
    <w:rsid w:val="309B1F52"/>
    <w:rsid w:val="30A9058E"/>
    <w:rsid w:val="30AB6B41"/>
    <w:rsid w:val="30ED7159"/>
    <w:rsid w:val="30F06C49"/>
    <w:rsid w:val="315A0567"/>
    <w:rsid w:val="323B3EF4"/>
    <w:rsid w:val="32EB1476"/>
    <w:rsid w:val="33694A91"/>
    <w:rsid w:val="341E3ACD"/>
    <w:rsid w:val="34B00BC9"/>
    <w:rsid w:val="35357321"/>
    <w:rsid w:val="354B444E"/>
    <w:rsid w:val="354E18A5"/>
    <w:rsid w:val="358044B2"/>
    <w:rsid w:val="36596021"/>
    <w:rsid w:val="36DA1F2E"/>
    <w:rsid w:val="382F115E"/>
    <w:rsid w:val="38433B03"/>
    <w:rsid w:val="38637D01"/>
    <w:rsid w:val="38B92017"/>
    <w:rsid w:val="39FA4695"/>
    <w:rsid w:val="3A217E73"/>
    <w:rsid w:val="3AD46C94"/>
    <w:rsid w:val="3AF63BBB"/>
    <w:rsid w:val="3B225C51"/>
    <w:rsid w:val="3B36794F"/>
    <w:rsid w:val="3B4C0F20"/>
    <w:rsid w:val="3B567FF1"/>
    <w:rsid w:val="3B5A188F"/>
    <w:rsid w:val="3B7346FF"/>
    <w:rsid w:val="3C10567B"/>
    <w:rsid w:val="3CF83C3C"/>
    <w:rsid w:val="3D2E203E"/>
    <w:rsid w:val="3D424389"/>
    <w:rsid w:val="3D483969"/>
    <w:rsid w:val="3DA43295"/>
    <w:rsid w:val="3DDC2A2F"/>
    <w:rsid w:val="3E46434D"/>
    <w:rsid w:val="3E465C51"/>
    <w:rsid w:val="404843AC"/>
    <w:rsid w:val="40512B35"/>
    <w:rsid w:val="40580386"/>
    <w:rsid w:val="405F3B7F"/>
    <w:rsid w:val="40864ED4"/>
    <w:rsid w:val="413C37E5"/>
    <w:rsid w:val="417B430D"/>
    <w:rsid w:val="41BB295C"/>
    <w:rsid w:val="41E76611"/>
    <w:rsid w:val="4250452F"/>
    <w:rsid w:val="42943809"/>
    <w:rsid w:val="434D7F2B"/>
    <w:rsid w:val="439873F8"/>
    <w:rsid w:val="442073EE"/>
    <w:rsid w:val="44682E92"/>
    <w:rsid w:val="44894F93"/>
    <w:rsid w:val="464078D3"/>
    <w:rsid w:val="466B2BA2"/>
    <w:rsid w:val="468679DC"/>
    <w:rsid w:val="46B362F7"/>
    <w:rsid w:val="471C3E9C"/>
    <w:rsid w:val="47EF15B1"/>
    <w:rsid w:val="483B21E2"/>
    <w:rsid w:val="483E7E42"/>
    <w:rsid w:val="48931F3C"/>
    <w:rsid w:val="48DC17A5"/>
    <w:rsid w:val="49970466"/>
    <w:rsid w:val="4A1A7368"/>
    <w:rsid w:val="4A361719"/>
    <w:rsid w:val="4AAB5291"/>
    <w:rsid w:val="4AC24D5B"/>
    <w:rsid w:val="4B005883"/>
    <w:rsid w:val="4B1D4687"/>
    <w:rsid w:val="4B3F63AB"/>
    <w:rsid w:val="4B71112D"/>
    <w:rsid w:val="4BB5041C"/>
    <w:rsid w:val="4BD96800"/>
    <w:rsid w:val="4CBA03DF"/>
    <w:rsid w:val="4D2E0486"/>
    <w:rsid w:val="4D4E6D7A"/>
    <w:rsid w:val="4D537EEC"/>
    <w:rsid w:val="4E0F475B"/>
    <w:rsid w:val="4EB3058D"/>
    <w:rsid w:val="4ED96B17"/>
    <w:rsid w:val="4F714FA1"/>
    <w:rsid w:val="505F3A36"/>
    <w:rsid w:val="50DB26D2"/>
    <w:rsid w:val="50DE6667"/>
    <w:rsid w:val="517F52DB"/>
    <w:rsid w:val="51DF2696"/>
    <w:rsid w:val="51F021AD"/>
    <w:rsid w:val="51F76B3F"/>
    <w:rsid w:val="52584E11"/>
    <w:rsid w:val="52A03BD4"/>
    <w:rsid w:val="535B3F9E"/>
    <w:rsid w:val="536B1A18"/>
    <w:rsid w:val="53755060"/>
    <w:rsid w:val="54921C42"/>
    <w:rsid w:val="54A43723"/>
    <w:rsid w:val="559B6371"/>
    <w:rsid w:val="58670CF0"/>
    <w:rsid w:val="589968A1"/>
    <w:rsid w:val="58A70C52"/>
    <w:rsid w:val="58F24A5D"/>
    <w:rsid w:val="58FE1654"/>
    <w:rsid w:val="59682F71"/>
    <w:rsid w:val="59725B9E"/>
    <w:rsid w:val="59AC3D88"/>
    <w:rsid w:val="59EC1E90"/>
    <w:rsid w:val="5A5F25C6"/>
    <w:rsid w:val="5A865DA5"/>
    <w:rsid w:val="5BB96155"/>
    <w:rsid w:val="5C03371A"/>
    <w:rsid w:val="5C3B671B"/>
    <w:rsid w:val="5C3D2493"/>
    <w:rsid w:val="5C4001D5"/>
    <w:rsid w:val="5D8365CC"/>
    <w:rsid w:val="5E36363E"/>
    <w:rsid w:val="5E7723F3"/>
    <w:rsid w:val="5EE94F71"/>
    <w:rsid w:val="5F944AC0"/>
    <w:rsid w:val="5FE2338E"/>
    <w:rsid w:val="60A056E7"/>
    <w:rsid w:val="61C6117D"/>
    <w:rsid w:val="62562501"/>
    <w:rsid w:val="634467FD"/>
    <w:rsid w:val="63676048"/>
    <w:rsid w:val="641C32D6"/>
    <w:rsid w:val="645A3805"/>
    <w:rsid w:val="646D3B32"/>
    <w:rsid w:val="64F733FB"/>
    <w:rsid w:val="650D0D78"/>
    <w:rsid w:val="65896749"/>
    <w:rsid w:val="65BA5F99"/>
    <w:rsid w:val="65C6799D"/>
    <w:rsid w:val="65E676F8"/>
    <w:rsid w:val="66860EDB"/>
    <w:rsid w:val="67A96C2F"/>
    <w:rsid w:val="67C9107F"/>
    <w:rsid w:val="686D4100"/>
    <w:rsid w:val="68BA718F"/>
    <w:rsid w:val="68F55EA4"/>
    <w:rsid w:val="692F13B6"/>
    <w:rsid w:val="69B47B0D"/>
    <w:rsid w:val="69E953A4"/>
    <w:rsid w:val="6B824366"/>
    <w:rsid w:val="6BDD77EF"/>
    <w:rsid w:val="6C934C20"/>
    <w:rsid w:val="6D9739CD"/>
    <w:rsid w:val="6DDD5884"/>
    <w:rsid w:val="6E7F06E9"/>
    <w:rsid w:val="6ED759FC"/>
    <w:rsid w:val="6EFE1F56"/>
    <w:rsid w:val="6F79782E"/>
    <w:rsid w:val="70E60EF4"/>
    <w:rsid w:val="71532F71"/>
    <w:rsid w:val="720930EC"/>
    <w:rsid w:val="722F68CA"/>
    <w:rsid w:val="727D3192"/>
    <w:rsid w:val="72A921D9"/>
    <w:rsid w:val="73010267"/>
    <w:rsid w:val="73571C35"/>
    <w:rsid w:val="735C724B"/>
    <w:rsid w:val="73922C6D"/>
    <w:rsid w:val="73974727"/>
    <w:rsid w:val="73A429A0"/>
    <w:rsid w:val="74213FF1"/>
    <w:rsid w:val="74D86DA5"/>
    <w:rsid w:val="74DB0643"/>
    <w:rsid w:val="75B570E6"/>
    <w:rsid w:val="75B74C0D"/>
    <w:rsid w:val="75CA2B92"/>
    <w:rsid w:val="75F25C45"/>
    <w:rsid w:val="763444AF"/>
    <w:rsid w:val="774A385E"/>
    <w:rsid w:val="77737A23"/>
    <w:rsid w:val="77844FC2"/>
    <w:rsid w:val="779B521D"/>
    <w:rsid w:val="77A13DC6"/>
    <w:rsid w:val="785E1CB7"/>
    <w:rsid w:val="78654C1B"/>
    <w:rsid w:val="78D635FC"/>
    <w:rsid w:val="78FB5758"/>
    <w:rsid w:val="79B62AF2"/>
    <w:rsid w:val="79D0629D"/>
    <w:rsid w:val="7A4D449C"/>
    <w:rsid w:val="7B130B37"/>
    <w:rsid w:val="7B29035B"/>
    <w:rsid w:val="7B407452"/>
    <w:rsid w:val="7C06069C"/>
    <w:rsid w:val="7C103015"/>
    <w:rsid w:val="7D6A07B6"/>
    <w:rsid w:val="7E33504C"/>
    <w:rsid w:val="7E413C0D"/>
    <w:rsid w:val="7E7F64E4"/>
    <w:rsid w:val="7F160BF6"/>
    <w:rsid w:val="7FC9210C"/>
    <w:rsid w:val="7FDA60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autoRedefine/>
    <w:qFormat/>
    <w:uiPriority w:val="0"/>
    <w:rPr>
      <w:b/>
    </w:rPr>
  </w:style>
  <w:style w:type="paragraph" w:customStyle="1" w:styleId="8">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1976</Words>
  <Characters>2035</Characters>
  <Lines>0</Lines>
  <Paragraphs>0</Paragraphs>
  <TotalTime>18</TotalTime>
  <ScaleCrop>false</ScaleCrop>
  <LinksUpToDate>false</LinksUpToDate>
  <CharactersWithSpaces>2035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2024-04-25T05:54:00Z</dcterms:created>
  <dc:creator>L</dc:creator>
  <cp:lastModifiedBy>sunny</cp:lastModifiedBy>
  <cp:lastPrinted>2025-01-26T08:48:00Z</cp:lastPrinted>
  <dcterms:modified xsi:type="dcterms:W3CDTF">2025-04-09T07:25:21Z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2EB5450B5CC34215BE55FD7EB0624FF1_13</vt:lpwstr>
  </property>
  <property fmtid="{D5CDD505-2E9C-101B-9397-08002B2CF9AE}" pid="4" name="KSOTemplateDocerSaveRecord">
    <vt:lpwstr>eyJoZGlkIjoiZWNlM2EyMTZlNjM2NzhmMWMyNTE2ODkzMWE3NjA0MDMiLCJ1c2VySWQiOiIyNzI4MDc3MjUifQ==</vt:lpwstr>
  </property>
</Properties>
</file>