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26CE2F">
      <w:pPr>
        <w:autoSpaceDE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文登区商务局“双随机、一公开”</w:t>
      </w:r>
    </w:p>
    <w:p w14:paraId="1AAAA684">
      <w:pPr>
        <w:autoSpaceDE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抽查工作细则</w:t>
      </w:r>
    </w:p>
    <w:p w14:paraId="7449CA65">
      <w:pPr>
        <w:autoSpaceDE w:val="0"/>
        <w:spacing w:line="560" w:lineRule="exact"/>
        <w:ind w:firstLine="640" w:firstLineChars="200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1F40BA9D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第一条 </w:t>
      </w:r>
      <w:r>
        <w:rPr>
          <w:rFonts w:hint="eastAsia" w:ascii="仿宋_GB2312" w:hAnsi="仿宋_GB2312" w:eastAsia="仿宋_GB2312" w:cs="仿宋_GB2312"/>
          <w:sz w:val="32"/>
          <w:szCs w:val="32"/>
        </w:rPr>
        <w:t>为维护市场正常秩序，加强对商务生产经营主体的监督管理，规范商务系统日常监管行为，提高事中事后监管的效率和执行力，按照市政府《关于印发威海市全面推进“双随机、一公开”监管改革实施方案的通知》和《关于“先照后证”改革后加强事中事后监管的实施意见》要求，结合商务行政的管理职能，制定本细则。</w:t>
      </w:r>
    </w:p>
    <w:p w14:paraId="52028884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第二条 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”抽查工作（以下简称抽查工作）是指商务部门依据法律、法规、规章规定，按属地管理原则，随机选派执法检查人员，对辖区内列入随机抽查名单的商务生产经营主体进行现场抽查，并将随机抽查工作全流程公开的监管方式。</w:t>
      </w:r>
    </w:p>
    <w:p w14:paraId="5F4AC039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各执法检查人员应认真履行监管任务，严格遵守保密制度及相关要求，按照分工负责、协作配合、各负其责的原则，依法进行检查。抽查工作必须做到内容明确、程序合法、文书规范。</w:t>
      </w:r>
    </w:p>
    <w:p w14:paraId="41840E17">
      <w:pPr>
        <w:autoSpaceDE w:val="0"/>
        <w:spacing w:line="560" w:lineRule="exact"/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综合执法科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调度汇总各责任科室随机抽查事项清单，在区商务局网站公开，并根据法律、法规、规章修订情况和行政权力调整情况随时进行动态更新。各责任科室要严格按照已公布的随机抽查事项清单，明确抽查事项名称、抽查依据、抽查内容、抽查比例、抽查频次等，开展随机抽查工作，并将随机抽查作为日常监督检查的主要方式。</w:t>
      </w:r>
    </w:p>
    <w:p w14:paraId="25D3020D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综合执法科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负责汇总建立随机抽查人员名录库，在区商务局网站公开，并根据人员调整情况进行动态更新。开展随机抽查工作前，各责任科室牵头，会同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综合执法科</w:t>
      </w:r>
      <w:r>
        <w:rPr>
          <w:rFonts w:hint="eastAsia" w:ascii="仿宋_GB2312" w:hAnsi="仿宋_GB2312" w:eastAsia="仿宋_GB2312" w:cs="仿宋_GB2312"/>
          <w:sz w:val="32"/>
          <w:szCs w:val="32"/>
        </w:rPr>
        <w:t>，从执法检查人员目录库中通过摇号方式随机抽取2名以上执法检查人员，并负责对执法检查人员进行必要的业务培训指导。执法检查人员与抽查对象有利害关系的，应依法回避。</w:t>
      </w:r>
    </w:p>
    <w:p w14:paraId="079D9BF7">
      <w:pPr>
        <w:autoSpaceDE w:val="0"/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第六条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综合执法科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根据随机抽查事项清单，汇总建立随机抽查市场主体名录库，在区商务局网站公开，并根据实际情况对抽查对象名录库进行动态更新。随机抽查对象通过摇号的方式从检查对象名录库中随机抽取。</w:t>
      </w:r>
    </w:p>
    <w:p w14:paraId="2FCC9ACA">
      <w:pPr>
        <w:autoSpaceDE w:val="0"/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第七条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各责任科室根据随机抽查事项清单，原则上每年开展随机抽查不少于2次（对于涉及市场主体个数5个以下的事项，每年抽查1次），每次抽查市场主体的数量不低于各产业市场主体名录库总数的10%，具体抽查时间由责任科室自行安排。对被投诉举报较多、有严重违法违规记录、失信等级高等特殊监管对象，要加大随机抽查力度，适时提高抽查比例和频次。</w:t>
      </w:r>
    </w:p>
    <w:p w14:paraId="2E6F75AE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第八条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抽查要依据随机抽查事项清单载明的抽查内容及相关要求，采取现场检查、书面检查等方式进行。</w:t>
      </w:r>
    </w:p>
    <w:p w14:paraId="10889E81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抽查要全面公开、全程留痕，实现责任可追溯。检查人员开展抽查工作时，现场检查笔录和现场照片、录像等证据资料应当作为执法全过程进行记录备案。检查人员应当自检查结束之日起5个工作日内完成检查报告，及时呈报牵头检查事项的责任科室并形成最终报告上报局领导。检查报告应当包括检查时间、检查内容、现场检查笔录、对被查对象执行法律法规等情况的评价、检查情况的处理意见和建议等事项。责任科室要及时做好检查档案归档并妥善保管。</w:t>
      </w:r>
    </w:p>
    <w:p w14:paraId="512BB8B0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检查人员要严格依照法定程序严格执法。对检查中发现的问题要从严从快处理，该整改的及时责令整改，该处罚的依法处罚，对涉嫌犯罪的及时移交有关司法机关进行处理，确保商务领域违法问题整治到位、处罚到位、移交移送到位、责任追究到位。</w:t>
      </w:r>
    </w:p>
    <w:p w14:paraId="7CBD0065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按照联动工作机制要求，如有必要，应联合相关部门开展联合抽查。</w:t>
      </w:r>
    </w:p>
    <w:p w14:paraId="7230D097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检查人员应遵守保密守则，按照《保密法》规定程序依法办事。在抽查工作未进行公开之前，执法人员不得私自或在无保密保障的情况下制作、传递、复制相关资料。不准在私人交往和通信中涉及抽查信息。被抽查单位名单要严格保密，坚决防止跑风漏气、失密泄密现象发生。</w:t>
      </w:r>
    </w:p>
    <w:p w14:paraId="5CACDA9C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按照信息公开和“一抽查一通报”的要求，各责任科室要会同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综合执法科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及时将随机抽查情况和查处结果在区商务局网站公开。</w:t>
      </w:r>
    </w:p>
    <w:p w14:paraId="4325FB77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第十四条 </w:t>
      </w:r>
      <w:r>
        <w:rPr>
          <w:rFonts w:hint="eastAsia" w:ascii="仿宋_GB2312" w:hAnsi="仿宋_GB2312" w:eastAsia="仿宋_GB2312" w:cs="仿宋_GB2312"/>
          <w:sz w:val="32"/>
          <w:szCs w:val="32"/>
        </w:rPr>
        <w:t>对于在抽查工作中滥用职权、玩忽职守、徇私舞弊的，依照有关法律法规和纪律处分规定处理。涉嫌犯罪的，移交司法机关处理。</w:t>
      </w:r>
    </w:p>
    <w:p w14:paraId="78D04975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本细则由文登区商务局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综合执法科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负责解释。</w:t>
      </w:r>
    </w:p>
    <w:p w14:paraId="2E152708">
      <w:pPr>
        <w:autoSpaceDE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第十六条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本细则自印发之日起施行。</w:t>
      </w:r>
    </w:p>
    <w:p w14:paraId="675178E7">
      <w:pPr>
        <w:autoSpaceDE w:val="0"/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3E9E8EED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2F722EE1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5B134A57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44141E73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367B0711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32EAA2F5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03413C38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79342194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3A9518A0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1B6C93FC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5CAA4CF5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73B001FE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69D0BDB8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6AED7F08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5CF19A61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6BBF8EB0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4C32B611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452D196B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7EE83FF6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0B22045F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tbl>
      <w:tblPr>
        <w:tblStyle w:val="2"/>
        <w:tblW w:w="0" w:type="auto"/>
        <w:tblInd w:w="136" w:type="dxa"/>
        <w:tblBorders>
          <w:top w:val="single" w:color="auto" w:sz="8" w:space="0"/>
          <w:left w:val="none" w:color="auto" w:sz="0" w:space="0"/>
          <w:bottom w:val="single" w:color="auto" w:sz="8" w:space="0"/>
          <w:right w:val="none" w:color="auto" w:sz="0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58"/>
      </w:tblGrid>
      <w:tr w14:paraId="0CB524D4"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958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center"/>
          </w:tcPr>
          <w:p w14:paraId="0803D626">
            <w:pPr>
              <w:autoSpaceDE w:val="0"/>
              <w:snapToGrid w:val="0"/>
              <w:spacing w:line="560" w:lineRule="exact"/>
              <w:ind w:firstLine="148" w:firstLineChars="50"/>
              <w:rPr>
                <w:rFonts w:ascii="仿宋_GB2312" w:hAnsi="仿宋_GB2312"/>
                <w:color w:val="000000"/>
                <w:sz w:val="32"/>
                <w:szCs w:val="32"/>
              </w:rPr>
            </w:pPr>
            <w:r>
              <w:rPr>
                <w:rFonts w:ascii="仿宋_GB2312" w:hAnsi="仿宋_GB2312"/>
                <w:spacing w:val="-12"/>
                <w:sz w:val="32"/>
                <w:szCs w:val="32"/>
              </w:rPr>
              <w:t xml:space="preserve">威海市文登区商务局 </w:t>
            </w:r>
            <w:r>
              <w:rPr>
                <w:rFonts w:ascii="仿宋_GB2312" w:hAnsi="仿宋_GB2312"/>
                <w:spacing w:val="-20"/>
                <w:sz w:val="32"/>
                <w:szCs w:val="32"/>
              </w:rPr>
              <w:t xml:space="preserve">                        202</w:t>
            </w:r>
            <w:r>
              <w:rPr>
                <w:rFonts w:hint="eastAsia" w:ascii="仿宋_GB2312" w:hAnsi="仿宋_GB2312"/>
                <w:spacing w:val="-20"/>
                <w:sz w:val="32"/>
                <w:szCs w:val="32"/>
                <w:lang w:val="en-US" w:eastAsia="zh-CN"/>
              </w:rPr>
              <w:t>5</w:t>
            </w:r>
            <w:r>
              <w:rPr>
                <w:rFonts w:ascii="仿宋_GB2312" w:hAnsi="仿宋_GB2312"/>
                <w:spacing w:val="-20"/>
                <w:sz w:val="32"/>
                <w:szCs w:val="32"/>
              </w:rPr>
              <w:t>年0</w:t>
            </w:r>
            <w:r>
              <w:rPr>
                <w:rFonts w:hint="eastAsia" w:ascii="仿宋_GB2312" w:hAnsi="仿宋_GB2312"/>
                <w:spacing w:val="-20"/>
                <w:sz w:val="32"/>
                <w:szCs w:val="32"/>
                <w:lang w:val="en-US" w:eastAsia="zh-CN"/>
              </w:rPr>
              <w:t>6</w:t>
            </w:r>
            <w:r>
              <w:rPr>
                <w:rFonts w:ascii="仿宋_GB2312" w:hAnsi="仿宋_GB2312"/>
                <w:spacing w:val="-20"/>
                <w:sz w:val="32"/>
                <w:szCs w:val="32"/>
              </w:rPr>
              <w:t>月</w:t>
            </w:r>
            <w:r>
              <w:rPr>
                <w:rFonts w:hint="eastAsia" w:ascii="仿宋_GB2312" w:hAnsi="仿宋_GB2312"/>
                <w:spacing w:val="-20"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ascii="仿宋_GB2312" w:hAnsi="仿宋_GB2312"/>
                <w:spacing w:val="-20"/>
                <w:sz w:val="32"/>
                <w:szCs w:val="32"/>
              </w:rPr>
              <w:t>5</w:t>
            </w:r>
            <w:r>
              <w:rPr>
                <w:rFonts w:ascii="仿宋_GB2312" w:hAnsi="仿宋_GB2312"/>
                <w:spacing w:val="-20"/>
                <w:sz w:val="32"/>
                <w:szCs w:val="32"/>
              </w:rPr>
              <w:t>日印发</w:t>
            </w:r>
          </w:p>
        </w:tc>
      </w:tr>
    </w:tbl>
    <w:p w14:paraId="52EE99B1">
      <w:pPr>
        <w:autoSpaceDE w:val="0"/>
        <w:spacing w:line="560" w:lineRule="exact"/>
        <w:rPr>
          <w:rFonts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 xml:space="preserve"> </w:t>
      </w:r>
    </w:p>
    <w:p w14:paraId="4E335B5C">
      <w:r>
        <w:t xml:space="preserve"> </w:t>
      </w:r>
    </w:p>
    <w:p w14:paraId="19E4FEE7">
      <w:bookmarkStart w:id="0" w:name="_GoBack"/>
      <w:bookmarkEnd w:id="0"/>
    </w:p>
    <w:sectPr>
      <w:pgSz w:w="11906" w:h="16838"/>
      <w:pgMar w:top="2098" w:right="141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iYjU4ZjNhOWViNWU5M2ExODY4NjBjNTk4YTAwOTQifQ=="/>
  </w:docVars>
  <w:rsids>
    <w:rsidRoot w:val="007F24C9"/>
    <w:rsid w:val="007F24C9"/>
    <w:rsid w:val="00F20503"/>
    <w:rsid w:val="2F465C27"/>
    <w:rsid w:val="30523B84"/>
    <w:rsid w:val="3C101015"/>
    <w:rsid w:val="3C8D1879"/>
    <w:rsid w:val="5752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1622</Words>
  <Characters>1629</Characters>
  <Lines>12</Lines>
  <Paragraphs>3</Paragraphs>
  <TotalTime>22</TotalTime>
  <ScaleCrop>false</ScaleCrop>
  <LinksUpToDate>false</LinksUpToDate>
  <CharactersWithSpaces>1704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2023-06-19T01:07:00Z</dcterms:created>
  <dc:creator>Administrator</dc:creator>
  <cp:lastModifiedBy>Administrator</cp:lastModifiedBy>
  <dcterms:modified xsi:type="dcterms:W3CDTF">2025-06-20T04:07:21Z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A0448956096F4755B59AB5B9C0C4FAC9_13</vt:lpwstr>
  </property>
  <property fmtid="{D5CDD505-2E9C-101B-9397-08002B2CF9AE}" pid="4" name="KSOTemplateDocerSaveRecord">
    <vt:lpwstr>eyJoZGlkIjoiNjdiYjU4ZjNhOWViNWU5M2ExODY4NjBjNTk4YTAwOTQifQ==</vt:lpwstr>
  </property>
</Properties>
</file>