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hd w:val="clear" w:color="auto" w:fill="FFFFFF"/>
        <w:kinsoku/>
        <w:wordWrap/>
        <w:overflowPunct/>
        <w:topLinePunct w:val="0"/>
        <w:autoSpaceDE/>
        <w:autoSpaceDN/>
        <w:bidi w:val="0"/>
        <w:adjustRightInd/>
        <w:snapToGrid/>
        <w:spacing w:after="75" w:line="0" w:lineRule="atLeast"/>
        <w:ind w:firstLine="646"/>
        <w:jc w:val="center"/>
        <w:textAlignment w:val="auto"/>
        <w:rPr>
          <w:rFonts w:hint="eastAsia" w:ascii="方正小标宋简体" w:hAnsi="方正小标宋简体" w:eastAsia="方正小标宋简体" w:cs="方正小标宋简体"/>
          <w:color w:val="3D3D3D"/>
          <w:kern w:val="0"/>
          <w:sz w:val="44"/>
          <w:szCs w:val="44"/>
        </w:rPr>
      </w:pPr>
      <w:bookmarkStart w:id="0" w:name="_GoBack"/>
      <w:r>
        <w:rPr>
          <w:rFonts w:hint="eastAsia" w:ascii="方正小标宋简体" w:hAnsi="方正小标宋简体" w:eastAsia="方正小标宋简体" w:cs="方正小标宋简体"/>
          <w:color w:val="3D3D3D"/>
          <w:kern w:val="0"/>
          <w:sz w:val="44"/>
          <w:szCs w:val="44"/>
        </w:rPr>
        <w:t>威海市文登区文化和旅游局2020年政府信息公开工作年度报告</w:t>
      </w:r>
    </w:p>
    <w:bookmarkEnd w:id="0"/>
    <w:p>
      <w:pPr>
        <w:widowControl/>
        <w:shd w:val="clear" w:color="auto" w:fill="FFFFFF"/>
        <w:spacing w:after="75" w:line="555" w:lineRule="atLeast"/>
        <w:ind w:firstLine="645"/>
        <w:jc w:val="left"/>
        <w:rPr>
          <w:rFonts w:ascii="Times New Roman" w:hAnsi="Times New Roman" w:eastAsia="宋体" w:cs="Times New Roman"/>
          <w:color w:val="3D3D3D"/>
          <w:kern w:val="0"/>
          <w:sz w:val="32"/>
          <w:szCs w:val="32"/>
        </w:rPr>
      </w:pPr>
    </w:p>
    <w:p>
      <w:pPr>
        <w:widowControl/>
        <w:shd w:val="clear" w:color="auto" w:fill="FFFFFF"/>
        <w:spacing w:after="75" w:line="555" w:lineRule="atLeast"/>
        <w:ind w:firstLine="645"/>
        <w:jc w:val="left"/>
        <w:rPr>
          <w:rFonts w:ascii="Arial" w:hAnsi="Arial" w:eastAsia="宋体" w:cs="Arial"/>
          <w:kern w:val="0"/>
          <w:sz w:val="24"/>
          <w:szCs w:val="24"/>
        </w:rPr>
      </w:pPr>
      <w:r>
        <w:rPr>
          <w:rFonts w:ascii="Times New Roman" w:hAnsi="Times New Roman" w:eastAsia="宋体" w:cs="Times New Roman"/>
          <w:color w:val="3D3D3D"/>
          <w:kern w:val="0"/>
          <w:sz w:val="32"/>
          <w:szCs w:val="32"/>
        </w:rPr>
        <w:t>2020</w:t>
      </w:r>
      <w:r>
        <w:rPr>
          <w:rFonts w:hint="eastAsia" w:ascii="仿宋_GB2312" w:hAnsi="Arial" w:eastAsia="仿宋_GB2312" w:cs="Arial"/>
          <w:color w:val="3D3D3D"/>
          <w:kern w:val="0"/>
          <w:sz w:val="32"/>
          <w:szCs w:val="32"/>
        </w:rPr>
        <w:t>年，区文化和旅游局认真贯彻落实《中华人民共和国政府信息公开条例》，秉承及时、高效、便民工作原则，不断健全工作机制，优化工作流程，拓展公开渠道，深入推进政府信息公开，做到了信息公开及时、准确、全面，依法保障了社会公众获取信息途径，各项工作的透明度进一步提高。及时、全面地主动公开政府信息，为公众提供了比较好的政府信息公开服务。</w:t>
      </w:r>
    </w:p>
    <w:p>
      <w:pPr>
        <w:widowControl/>
        <w:shd w:val="clear" w:color="auto" w:fill="FFFFFF"/>
        <w:spacing w:before="75" w:after="75" w:line="555" w:lineRule="atLeast"/>
        <w:ind w:firstLine="645"/>
        <w:jc w:val="left"/>
        <w:rPr>
          <w:rFonts w:ascii="Arial" w:hAnsi="Arial" w:eastAsia="宋体" w:cs="Arial"/>
          <w:kern w:val="0"/>
          <w:sz w:val="24"/>
          <w:szCs w:val="24"/>
        </w:rPr>
      </w:pPr>
      <w:r>
        <w:rPr>
          <w:rFonts w:hint="eastAsia" w:ascii="仿宋_GB2312" w:hAnsi="Arial" w:eastAsia="仿宋_GB2312" w:cs="Arial"/>
          <w:color w:val="3D3D3D"/>
          <w:kern w:val="0"/>
          <w:sz w:val="32"/>
          <w:szCs w:val="32"/>
        </w:rPr>
        <w:t>本报告中所列数据的统计时限自2020年1月1日起至2020年12月31日止.</w:t>
      </w:r>
    </w:p>
    <w:p>
      <w:pPr>
        <w:widowControl/>
        <w:shd w:val="clear" w:color="auto" w:fill="FFFFFF"/>
        <w:spacing w:before="75" w:after="75" w:line="555" w:lineRule="atLeast"/>
        <w:ind w:firstLine="645"/>
        <w:jc w:val="left"/>
        <w:rPr>
          <w:rFonts w:ascii="Arial" w:hAnsi="Arial" w:eastAsia="宋体" w:cs="Arial"/>
          <w:kern w:val="0"/>
          <w:sz w:val="24"/>
          <w:szCs w:val="24"/>
        </w:rPr>
      </w:pPr>
      <w:r>
        <w:rPr>
          <w:rFonts w:hint="eastAsia" w:ascii="仿宋_GB2312" w:hAnsi="Arial" w:eastAsia="仿宋_GB2312" w:cs="Arial"/>
          <w:color w:val="3D3D3D"/>
          <w:kern w:val="0"/>
          <w:sz w:val="32"/>
          <w:szCs w:val="32"/>
        </w:rPr>
        <w:t>本报告的电子版可在威海市文登区人民政府网站（</w:t>
      </w:r>
      <w:r>
        <w:fldChar w:fldCharType="begin"/>
      </w:r>
      <w:r>
        <w:instrText xml:space="preserve"> HYPERLINK "http://cms.weihai.gov.cn/" </w:instrText>
      </w:r>
      <w:r>
        <w:fldChar w:fldCharType="separate"/>
      </w:r>
      <w:r>
        <w:rPr>
          <w:rFonts w:ascii="Arial" w:hAnsi="Arial" w:eastAsia="宋体" w:cs="Arial"/>
          <w:color w:val="0000FF"/>
          <w:kern w:val="0"/>
          <w:sz w:val="24"/>
          <w:szCs w:val="24"/>
          <w:u w:val="single"/>
        </w:rPr>
        <w:t>/</w:t>
      </w:r>
      <w:r>
        <w:rPr>
          <w:rFonts w:ascii="Arial" w:hAnsi="Arial" w:eastAsia="宋体" w:cs="Arial"/>
          <w:color w:val="0000FF"/>
          <w:kern w:val="0"/>
          <w:sz w:val="24"/>
          <w:szCs w:val="24"/>
          <w:u w:val="single"/>
        </w:rPr>
        <w:fldChar w:fldCharType="end"/>
      </w:r>
      <w:r>
        <w:rPr>
          <w:rFonts w:hint="eastAsia" w:ascii="仿宋_GB2312" w:hAnsi="Arial" w:eastAsia="仿宋_GB2312" w:cs="Arial"/>
          <w:color w:val="3D3D3D"/>
          <w:kern w:val="0"/>
          <w:sz w:val="32"/>
          <w:szCs w:val="32"/>
        </w:rPr>
        <w:t>）信息公开专栏查阅。联系方式：文登区文化和旅游局办公室（地址：威海市文登区龙山路46号，邮编：264400，电话：0631-8459063）。</w:t>
      </w:r>
    </w:p>
    <w:p>
      <w:pPr>
        <w:widowControl/>
        <w:shd w:val="clear" w:color="auto" w:fill="FFFFFF"/>
        <w:spacing w:before="75" w:after="75" w:line="555" w:lineRule="atLeast"/>
        <w:ind w:firstLine="645"/>
        <w:jc w:val="left"/>
        <w:rPr>
          <w:rFonts w:ascii="Arial" w:hAnsi="Arial" w:eastAsia="宋体" w:cs="Arial"/>
          <w:kern w:val="0"/>
          <w:sz w:val="24"/>
          <w:szCs w:val="24"/>
        </w:rPr>
      </w:pPr>
    </w:p>
    <w:p>
      <w:pPr>
        <w:widowControl/>
        <w:shd w:val="clear" w:color="auto" w:fill="FFFFFF"/>
        <w:spacing w:line="555" w:lineRule="atLeast"/>
        <w:ind w:firstLine="645"/>
        <w:jc w:val="left"/>
        <w:rPr>
          <w:rFonts w:ascii="Arial" w:hAnsi="Arial" w:eastAsia="宋体" w:cs="Arial"/>
          <w:kern w:val="0"/>
          <w:sz w:val="24"/>
          <w:szCs w:val="24"/>
        </w:rPr>
      </w:pPr>
      <w:r>
        <w:rPr>
          <w:rFonts w:hint="eastAsia" w:ascii="黑体" w:hAnsi="黑体" w:eastAsia="黑体" w:cs="Arial"/>
          <w:color w:val="333333"/>
          <w:kern w:val="0"/>
          <w:sz w:val="32"/>
          <w:szCs w:val="32"/>
        </w:rPr>
        <w:t>一、总体情况</w:t>
      </w:r>
    </w:p>
    <w:p>
      <w:pPr>
        <w:widowControl/>
        <w:shd w:val="clear" w:color="auto" w:fill="FFFFFF"/>
        <w:spacing w:before="75" w:after="75" w:line="555" w:lineRule="atLeast"/>
        <w:ind w:firstLine="645"/>
        <w:jc w:val="left"/>
        <w:rPr>
          <w:rFonts w:ascii="Arial" w:hAnsi="Arial" w:eastAsia="宋体" w:cs="Arial"/>
          <w:kern w:val="0"/>
          <w:sz w:val="24"/>
          <w:szCs w:val="24"/>
        </w:rPr>
      </w:pPr>
      <w:r>
        <w:rPr>
          <w:rFonts w:hint="eastAsia" w:ascii="楷体_GB2312" w:hAnsi="Arial" w:eastAsia="楷体_GB2312" w:cs="Arial"/>
          <w:color w:val="3D3D3D"/>
          <w:kern w:val="0"/>
          <w:sz w:val="32"/>
          <w:szCs w:val="32"/>
        </w:rPr>
        <w:t>  </w:t>
      </w:r>
      <w:r>
        <w:rPr>
          <w:rFonts w:hint="eastAsia" w:ascii="仿宋_GB2312" w:hAnsi="Arial" w:eastAsia="仿宋_GB2312" w:cs="Arial"/>
          <w:color w:val="3D3D3D"/>
          <w:kern w:val="0"/>
          <w:sz w:val="32"/>
          <w:szCs w:val="32"/>
        </w:rPr>
        <w:t>加强领导体系建设。根据局领导班子人员和工作分工的变化情况，及时调整充实了文登区文旅局政府信息公开工作领导小组成员，确保组织机构健全、工作人员到位、职责分工明确。完善制度管理机制。完善依法申请公开、限时公开、申请受理、考核监督、保密审查、社会评议、责任追究等工作机制，进一步规范工作流程和工作标准，确保政府信息公开工作安全、有效、有序进行。</w:t>
      </w:r>
    </w:p>
    <w:p>
      <w:pPr>
        <w:widowControl/>
        <w:shd w:val="clear" w:color="auto" w:fill="FFFFFF"/>
        <w:spacing w:before="75" w:after="75" w:line="555" w:lineRule="atLeast"/>
        <w:ind w:firstLine="645"/>
        <w:jc w:val="left"/>
        <w:rPr>
          <w:rFonts w:ascii="Arial" w:hAnsi="Arial" w:eastAsia="宋体" w:cs="Arial"/>
          <w:kern w:val="0"/>
          <w:sz w:val="24"/>
          <w:szCs w:val="24"/>
        </w:rPr>
      </w:pPr>
      <w:r>
        <w:rPr>
          <w:rFonts w:hint="eastAsia" w:ascii="仿宋" w:hAnsi="仿宋" w:eastAsia="仿宋" w:cs="Arial"/>
          <w:kern w:val="0"/>
          <w:sz w:val="32"/>
          <w:szCs w:val="32"/>
        </w:rPr>
        <w:t>（一）主动公开情况</w:t>
      </w:r>
    </w:p>
    <w:p>
      <w:pPr>
        <w:widowControl/>
        <w:spacing w:line="480" w:lineRule="atLeast"/>
        <w:ind w:firstLine="480"/>
        <w:jc w:val="left"/>
        <w:rPr>
          <w:rFonts w:ascii="Arial" w:hAnsi="Arial" w:eastAsia="宋体" w:cs="Arial"/>
          <w:kern w:val="0"/>
          <w:sz w:val="24"/>
          <w:szCs w:val="24"/>
        </w:rPr>
      </w:pPr>
      <w:r>
        <w:rPr>
          <w:rFonts w:hint="eastAsia" w:ascii="仿宋" w:hAnsi="仿宋" w:eastAsia="仿宋" w:cs="Arial"/>
          <w:kern w:val="0"/>
          <w:sz w:val="32"/>
          <w:szCs w:val="32"/>
        </w:rPr>
        <w:t>2020年，文登区文化和旅游局共主动公开</w:t>
      </w:r>
      <w:r>
        <w:rPr>
          <w:rFonts w:hint="eastAsia" w:ascii="仿宋" w:hAnsi="仿宋" w:eastAsia="仿宋" w:cs="Arial"/>
          <w:color w:val="3D3D3D"/>
          <w:kern w:val="0"/>
          <w:sz w:val="32"/>
          <w:szCs w:val="32"/>
        </w:rPr>
        <w:t>工作动态、公告公示、重点领域信息、政策解读等</w:t>
      </w:r>
      <w:r>
        <w:rPr>
          <w:rFonts w:hint="eastAsia" w:ascii="仿宋" w:hAnsi="仿宋" w:eastAsia="仿宋" w:cs="Arial"/>
          <w:kern w:val="0"/>
          <w:sz w:val="32"/>
          <w:szCs w:val="32"/>
        </w:rPr>
        <w:t>政府信息178条，</w:t>
      </w:r>
      <w:r>
        <w:rPr>
          <w:rFonts w:hint="eastAsia" w:ascii="仿宋" w:hAnsi="仿宋" w:eastAsia="仿宋" w:cs="Arial"/>
          <w:color w:val="3D3D3D"/>
          <w:kern w:val="0"/>
          <w:sz w:val="32"/>
          <w:szCs w:val="32"/>
        </w:rPr>
        <w:t>及时、全面、规范、透明地主动公开相关政府信息。</w:t>
      </w:r>
    </w:p>
    <w:p>
      <w:pPr>
        <w:widowControl/>
        <w:spacing w:line="480" w:lineRule="atLeast"/>
        <w:ind w:firstLine="480"/>
        <w:jc w:val="center"/>
        <w:rPr>
          <w:rFonts w:ascii="Arial" w:hAnsi="Arial" w:eastAsia="宋体" w:cs="Arial"/>
          <w:kern w:val="0"/>
          <w:sz w:val="24"/>
          <w:szCs w:val="24"/>
        </w:rPr>
      </w:pPr>
      <w:r>
        <w:rPr>
          <w:rFonts w:ascii="Arial" w:hAnsi="Arial" w:eastAsia="宋体" w:cs="Arial"/>
          <w:kern w:val="0"/>
          <w:sz w:val="24"/>
          <w:szCs w:val="24"/>
        </w:rPr>
        <w:t> </w:t>
      </w:r>
    </w:p>
    <w:p>
      <w:pPr>
        <w:widowControl/>
        <w:spacing w:line="480" w:lineRule="atLeast"/>
        <w:ind w:firstLine="480"/>
        <w:jc w:val="center"/>
        <w:rPr>
          <w:rFonts w:ascii="Arial" w:hAnsi="Arial" w:eastAsia="宋体" w:cs="Arial"/>
          <w:kern w:val="0"/>
          <w:sz w:val="24"/>
          <w:szCs w:val="24"/>
        </w:rPr>
      </w:pPr>
      <w:r>
        <w:rPr>
          <w:rFonts w:ascii="仿宋" w:hAnsi="仿宋" w:eastAsia="仿宋" w:cs="Arial"/>
          <w:color w:val="3D3D3D"/>
          <w:kern w:val="0"/>
          <w:sz w:val="32"/>
          <w:szCs w:val="32"/>
        </w:rPr>
        <w:drawing>
          <wp:inline distT="0" distB="0" distL="0" distR="0">
            <wp:extent cx="4926330" cy="2936875"/>
            <wp:effectExtent l="0" t="0" r="7620" b="15875"/>
            <wp:docPr id="1" name="图片 1" descr="http://cms.weihai.gov.cn/jcms/jcms_files/jcms1/web137/site/picture/0/e4378281970b42d1b65782889d3761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http://cms.weihai.gov.cn/jcms/jcms_files/jcms1/web137/site/picture/0/e4378281970b42d1b65782889d376136.png"/>
                    <pic:cNvPicPr>
                      <a:picLocks noChangeAspect="1" noChangeArrowheads="1"/>
                    </pic:cNvPicPr>
                  </pic:nvPicPr>
                  <pic:blipFill>
                    <a:blip r:embed="rId4" cstate="print"/>
                    <a:srcRect/>
                    <a:stretch>
                      <a:fillRect/>
                    </a:stretch>
                  </pic:blipFill>
                  <pic:spPr>
                    <a:xfrm>
                      <a:off x="0" y="0"/>
                      <a:ext cx="4926330" cy="2936875"/>
                    </a:xfrm>
                    <a:prstGeom prst="rect">
                      <a:avLst/>
                    </a:prstGeom>
                    <a:noFill/>
                    <a:ln w="9525">
                      <a:noFill/>
                      <a:miter lim="800000"/>
                      <a:headEnd/>
                      <a:tailEnd/>
                    </a:ln>
                  </pic:spPr>
                </pic:pic>
              </a:graphicData>
            </a:graphic>
          </wp:inline>
        </w:drawing>
      </w:r>
    </w:p>
    <w:p>
      <w:pPr>
        <w:widowControl/>
        <w:spacing w:line="480" w:lineRule="atLeast"/>
        <w:ind w:firstLine="480"/>
        <w:jc w:val="left"/>
        <w:rPr>
          <w:rFonts w:ascii="Arial" w:hAnsi="Arial" w:eastAsia="宋体" w:cs="Arial"/>
          <w:kern w:val="0"/>
          <w:sz w:val="24"/>
          <w:szCs w:val="24"/>
        </w:rPr>
      </w:pPr>
    </w:p>
    <w:p>
      <w:pPr>
        <w:widowControl/>
        <w:spacing w:line="480" w:lineRule="atLeast"/>
        <w:ind w:firstLine="480"/>
        <w:jc w:val="left"/>
        <w:rPr>
          <w:rFonts w:ascii="Arial" w:hAnsi="Arial" w:eastAsia="宋体" w:cs="Arial"/>
          <w:kern w:val="0"/>
          <w:sz w:val="24"/>
          <w:szCs w:val="24"/>
        </w:rPr>
      </w:pPr>
    </w:p>
    <w:p>
      <w:pPr>
        <w:widowControl/>
        <w:spacing w:line="480" w:lineRule="atLeast"/>
        <w:jc w:val="left"/>
        <w:rPr>
          <w:rFonts w:ascii="Arial" w:hAnsi="Arial" w:eastAsia="宋体" w:cs="Arial"/>
          <w:kern w:val="0"/>
          <w:sz w:val="24"/>
          <w:szCs w:val="24"/>
        </w:rPr>
      </w:pPr>
      <w:r>
        <w:rPr>
          <w:rFonts w:hint="eastAsia" w:ascii="宋体" w:hAnsi="宋体" w:eastAsia="宋体" w:cs="宋体"/>
          <w:kern w:val="0"/>
          <w:sz w:val="32"/>
          <w:szCs w:val="32"/>
        </w:rPr>
        <w:t>  </w:t>
      </w:r>
      <w:r>
        <w:rPr>
          <w:rFonts w:hint="eastAsia" w:ascii="仿宋" w:hAnsi="仿宋" w:eastAsia="仿宋" w:cs="仿宋"/>
          <w:kern w:val="0"/>
          <w:sz w:val="32"/>
          <w:szCs w:val="32"/>
        </w:rPr>
        <w:t xml:space="preserve"> 2020</w:t>
      </w:r>
      <w:r>
        <w:rPr>
          <w:rFonts w:hint="eastAsia" w:ascii="仿宋" w:hAnsi="仿宋" w:eastAsia="仿宋" w:cs="Arial"/>
          <w:kern w:val="0"/>
          <w:sz w:val="32"/>
          <w:szCs w:val="32"/>
        </w:rPr>
        <w:t>年，文登区文化和旅游局共主动公开其中工作动态32条，公告公示10条，政策文件及解读8条，重点领域信息公开18条</w:t>
      </w:r>
    </w:p>
    <w:p>
      <w:pPr>
        <w:widowControl/>
        <w:spacing w:line="480" w:lineRule="atLeast"/>
        <w:ind w:firstLine="480"/>
        <w:jc w:val="center"/>
        <w:rPr>
          <w:rFonts w:ascii="Arial" w:hAnsi="Arial" w:eastAsia="宋体" w:cs="Arial"/>
          <w:kern w:val="0"/>
          <w:sz w:val="24"/>
          <w:szCs w:val="24"/>
        </w:rPr>
      </w:pPr>
      <w:r>
        <w:rPr>
          <w:rFonts w:ascii="Arial" w:hAnsi="Arial" w:eastAsia="宋体" w:cs="Arial"/>
          <w:kern w:val="0"/>
          <w:sz w:val="24"/>
          <w:szCs w:val="24"/>
        </w:rPr>
        <w:drawing>
          <wp:inline distT="0" distB="0" distL="0" distR="0">
            <wp:extent cx="4386580" cy="2560955"/>
            <wp:effectExtent l="0" t="0" r="13970" b="10795"/>
            <wp:docPr id="2" name="图片 2" descr="http://cms.weihai.gov.cn/jcms/jcms_files/jcms1/web137/site/picture/0/d26784e0f84e4180b9c7048b97f988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http://cms.weihai.gov.cn/jcms/jcms_files/jcms1/web137/site/picture/0/d26784e0f84e4180b9c7048b97f98874.png"/>
                    <pic:cNvPicPr>
                      <a:picLocks noChangeAspect="1" noChangeArrowheads="1"/>
                    </pic:cNvPicPr>
                  </pic:nvPicPr>
                  <pic:blipFill>
                    <a:blip r:embed="rId5" cstate="print"/>
                    <a:srcRect/>
                    <a:stretch>
                      <a:fillRect/>
                    </a:stretch>
                  </pic:blipFill>
                  <pic:spPr>
                    <a:xfrm>
                      <a:off x="0" y="0"/>
                      <a:ext cx="4386580" cy="2560955"/>
                    </a:xfrm>
                    <a:prstGeom prst="rect">
                      <a:avLst/>
                    </a:prstGeom>
                    <a:noFill/>
                    <a:ln w="9525">
                      <a:noFill/>
                      <a:miter lim="800000"/>
                      <a:headEnd/>
                      <a:tailEnd/>
                    </a:ln>
                  </pic:spPr>
                </pic:pic>
              </a:graphicData>
            </a:graphic>
          </wp:inline>
        </w:drawing>
      </w:r>
    </w:p>
    <w:p>
      <w:pPr>
        <w:widowControl/>
        <w:spacing w:line="480" w:lineRule="atLeast"/>
        <w:ind w:firstLine="480"/>
        <w:jc w:val="left"/>
        <w:rPr>
          <w:rFonts w:ascii="Arial" w:hAnsi="Arial" w:eastAsia="宋体" w:cs="Arial"/>
          <w:kern w:val="0"/>
          <w:sz w:val="24"/>
          <w:szCs w:val="24"/>
        </w:rPr>
      </w:pPr>
    </w:p>
    <w:p>
      <w:pPr>
        <w:widowControl/>
        <w:spacing w:line="480" w:lineRule="atLeast"/>
        <w:jc w:val="left"/>
        <w:rPr>
          <w:rFonts w:ascii="Arial" w:hAnsi="Arial" w:eastAsia="宋体" w:cs="Arial"/>
          <w:kern w:val="0"/>
          <w:sz w:val="24"/>
          <w:szCs w:val="24"/>
        </w:rPr>
      </w:pPr>
      <w:r>
        <w:rPr>
          <w:rFonts w:ascii="Arial" w:hAnsi="Arial" w:eastAsia="宋体" w:cs="Arial"/>
          <w:kern w:val="0"/>
          <w:sz w:val="24"/>
          <w:szCs w:val="24"/>
        </w:rPr>
        <w:t> </w:t>
      </w:r>
    </w:p>
    <w:p>
      <w:pPr>
        <w:widowControl/>
        <w:spacing w:line="480" w:lineRule="atLeast"/>
        <w:ind w:firstLine="480"/>
        <w:jc w:val="left"/>
        <w:rPr>
          <w:rFonts w:ascii="Arial" w:hAnsi="Arial" w:eastAsia="宋体" w:cs="Arial"/>
          <w:kern w:val="0"/>
          <w:sz w:val="24"/>
          <w:szCs w:val="24"/>
        </w:rPr>
      </w:pPr>
      <w:r>
        <w:rPr>
          <w:rFonts w:hint="eastAsia" w:ascii="仿宋" w:hAnsi="仿宋" w:eastAsia="仿宋" w:cs="Arial"/>
          <w:kern w:val="0"/>
          <w:sz w:val="32"/>
          <w:szCs w:val="32"/>
        </w:rPr>
        <w:t>（二）依申请公开情况</w:t>
      </w:r>
    </w:p>
    <w:p>
      <w:pPr>
        <w:widowControl/>
        <w:spacing w:line="480" w:lineRule="atLeast"/>
        <w:ind w:firstLine="480"/>
        <w:jc w:val="left"/>
        <w:rPr>
          <w:rFonts w:ascii="Arial" w:hAnsi="Arial" w:eastAsia="宋体" w:cs="Arial"/>
          <w:kern w:val="0"/>
          <w:sz w:val="24"/>
          <w:szCs w:val="24"/>
        </w:rPr>
      </w:pPr>
      <w:r>
        <w:rPr>
          <w:rFonts w:hint="eastAsia" w:ascii="仿宋" w:hAnsi="仿宋" w:eastAsia="仿宋" w:cs="Arial"/>
          <w:kern w:val="0"/>
          <w:sz w:val="32"/>
          <w:szCs w:val="32"/>
        </w:rPr>
        <w:t>2020年度，我局共受理政府信息公开申请1条，已全部办结。</w:t>
      </w:r>
    </w:p>
    <w:p>
      <w:pPr>
        <w:widowControl/>
        <w:spacing w:line="480" w:lineRule="atLeast"/>
        <w:ind w:firstLine="480"/>
        <w:jc w:val="left"/>
        <w:rPr>
          <w:rFonts w:ascii="Arial" w:hAnsi="Arial" w:eastAsia="宋体" w:cs="Arial"/>
          <w:kern w:val="0"/>
          <w:sz w:val="24"/>
          <w:szCs w:val="24"/>
        </w:rPr>
      </w:pPr>
      <w:r>
        <w:rPr>
          <w:rFonts w:hint="eastAsia" w:ascii="仿宋" w:hAnsi="仿宋" w:eastAsia="仿宋" w:cs="Arial"/>
          <w:kern w:val="0"/>
          <w:sz w:val="32"/>
          <w:szCs w:val="32"/>
        </w:rPr>
        <w:t>（三）政府信息管理情况</w:t>
      </w:r>
    </w:p>
    <w:p>
      <w:pPr>
        <w:widowControl/>
        <w:spacing w:line="480" w:lineRule="atLeast"/>
        <w:jc w:val="left"/>
        <w:rPr>
          <w:rFonts w:ascii="Arial" w:hAnsi="Arial" w:eastAsia="宋体" w:cs="Arial"/>
          <w:kern w:val="0"/>
          <w:sz w:val="24"/>
          <w:szCs w:val="24"/>
        </w:rPr>
      </w:pPr>
      <w:r>
        <w:rPr>
          <w:rFonts w:hint="eastAsia" w:ascii="仿宋_GB2312" w:hAnsi="Times New Roman" w:eastAsia="仿宋_GB2312" w:cs="Times New Roman"/>
          <w:kern w:val="0"/>
          <w:sz w:val="32"/>
          <w:szCs w:val="32"/>
        </w:rPr>
        <w:t>   我局按时更新发布本部门信息公开指南和主动公开基本目录等，</w:t>
      </w:r>
      <w:r>
        <w:rPr>
          <w:rFonts w:hint="eastAsia" w:ascii="仿宋" w:hAnsi="仿宋" w:eastAsia="仿宋" w:cs="Arial"/>
          <w:kern w:val="0"/>
          <w:sz w:val="32"/>
          <w:szCs w:val="32"/>
        </w:rPr>
        <w:t>持续抓好平台维护、日常管理等方面工作。工作人员负责维护平台运行，严格规范工作流程，认真落实各项工作部署，全面推进行政决策、执行、管理、服务、结果公开。建立健全信息公开审核保密制度，做到公开信息不涉密，涉密信息不公开。</w:t>
      </w:r>
    </w:p>
    <w:p>
      <w:pPr>
        <w:widowControl/>
        <w:spacing w:line="480" w:lineRule="atLeast"/>
        <w:jc w:val="center"/>
        <w:rPr>
          <w:rFonts w:ascii="Arial" w:hAnsi="Arial" w:eastAsia="宋体" w:cs="Arial"/>
          <w:kern w:val="0"/>
          <w:sz w:val="24"/>
          <w:szCs w:val="24"/>
        </w:rPr>
      </w:pPr>
      <w:r>
        <w:rPr>
          <w:rFonts w:ascii="仿宋" w:hAnsi="仿宋" w:eastAsia="仿宋" w:cs="Arial"/>
          <w:kern w:val="0"/>
          <w:sz w:val="32"/>
          <w:szCs w:val="32"/>
        </w:rPr>
        <w:drawing>
          <wp:inline distT="0" distB="0" distL="0" distR="0">
            <wp:extent cx="5750560" cy="3098165"/>
            <wp:effectExtent l="0" t="0" r="2540" b="6985"/>
            <wp:docPr id="3" name="图片 3" descr="http://cms.weihai.gov.cn/jcms/jcms_files/jcms1/web137/site/picture/0/26eba8abd24b4f86a2a03b804818797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http://cms.weihai.gov.cn/jcms/jcms_files/jcms1/web137/site/picture/0/26eba8abd24b4f86a2a03b804818797d.png"/>
                    <pic:cNvPicPr>
                      <a:picLocks noChangeAspect="1" noChangeArrowheads="1"/>
                    </pic:cNvPicPr>
                  </pic:nvPicPr>
                  <pic:blipFill>
                    <a:blip r:embed="rId6" cstate="print"/>
                    <a:srcRect/>
                    <a:stretch>
                      <a:fillRect/>
                    </a:stretch>
                  </pic:blipFill>
                  <pic:spPr>
                    <a:xfrm>
                      <a:off x="0" y="0"/>
                      <a:ext cx="5750560" cy="3098165"/>
                    </a:xfrm>
                    <a:prstGeom prst="rect">
                      <a:avLst/>
                    </a:prstGeom>
                    <a:noFill/>
                    <a:ln w="9525">
                      <a:noFill/>
                      <a:miter lim="800000"/>
                      <a:headEnd/>
                      <a:tailEnd/>
                    </a:ln>
                  </pic:spPr>
                </pic:pic>
              </a:graphicData>
            </a:graphic>
          </wp:inline>
        </w:drawing>
      </w:r>
    </w:p>
    <w:p>
      <w:pPr>
        <w:widowControl/>
        <w:spacing w:line="480" w:lineRule="atLeast"/>
        <w:jc w:val="left"/>
        <w:rPr>
          <w:rFonts w:ascii="Arial" w:hAnsi="Arial" w:eastAsia="宋体" w:cs="Arial"/>
          <w:kern w:val="0"/>
          <w:sz w:val="24"/>
          <w:szCs w:val="24"/>
        </w:rPr>
      </w:pPr>
      <w:r>
        <w:rPr>
          <w:rFonts w:ascii="Arial" w:hAnsi="Arial" w:eastAsia="宋体" w:cs="Arial"/>
          <w:kern w:val="0"/>
          <w:sz w:val="24"/>
          <w:szCs w:val="24"/>
        </w:rPr>
        <w:t>       </w:t>
      </w:r>
      <w:r>
        <w:rPr>
          <w:rFonts w:hint="eastAsia" w:ascii="仿宋_GB2312" w:hAnsi="Arial" w:eastAsia="仿宋_GB2312" w:cs="Arial"/>
          <w:color w:val="3D3D3D"/>
          <w:kern w:val="0"/>
          <w:sz w:val="32"/>
          <w:szCs w:val="32"/>
          <w:shd w:val="clear" w:color="auto" w:fill="FFFFFF"/>
        </w:rPr>
        <w:t>（四）平台建设情况</w:t>
      </w:r>
    </w:p>
    <w:p>
      <w:pPr>
        <w:widowControl/>
        <w:spacing w:line="555" w:lineRule="atLeast"/>
        <w:jc w:val="left"/>
        <w:rPr>
          <w:rFonts w:ascii="Arial" w:hAnsi="Arial" w:eastAsia="宋体" w:cs="Arial"/>
          <w:kern w:val="0"/>
          <w:sz w:val="24"/>
          <w:szCs w:val="24"/>
        </w:rPr>
      </w:pPr>
      <w:r>
        <w:rPr>
          <w:rFonts w:hint="eastAsia" w:ascii="仿宋_GB2312" w:hAnsi="Arial" w:eastAsia="仿宋_GB2312" w:cs="Arial"/>
          <w:color w:val="3D3D3D"/>
          <w:kern w:val="0"/>
          <w:sz w:val="32"/>
          <w:szCs w:val="32"/>
          <w:shd w:val="clear" w:color="auto" w:fill="FFFFFF"/>
        </w:rPr>
        <w:t>  我局立足威海市文登区人民政府门户网站，将报刊、报纸等传统媒介与微信公众号等政务新媒体高度结合，逐步构建起完善、规范、公开、透明的政府信息公开立体体系。2020年度，我局微信公众号（文旅文登）累计发布信息259篇。</w:t>
      </w:r>
    </w:p>
    <w:p>
      <w:pPr>
        <w:widowControl/>
        <w:spacing w:line="555" w:lineRule="atLeast"/>
        <w:jc w:val="center"/>
        <w:rPr>
          <w:rFonts w:ascii="Arial" w:hAnsi="Arial" w:eastAsia="宋体" w:cs="Arial"/>
          <w:kern w:val="0"/>
          <w:sz w:val="24"/>
          <w:szCs w:val="24"/>
        </w:rPr>
      </w:pPr>
      <w:r>
        <w:rPr>
          <w:rFonts w:ascii="仿宋_GB2312" w:hAnsi="Arial" w:eastAsia="仿宋_GB2312" w:cs="Arial"/>
          <w:color w:val="3D3D3D"/>
          <w:kern w:val="0"/>
          <w:sz w:val="32"/>
          <w:szCs w:val="32"/>
          <w:shd w:val="clear" w:color="auto" w:fill="FFFFFF"/>
        </w:rPr>
        <w:drawing>
          <wp:inline distT="0" distB="0" distL="0" distR="0">
            <wp:extent cx="3152775" cy="3195320"/>
            <wp:effectExtent l="0" t="0" r="9525" b="5080"/>
            <wp:docPr id="4" name="图片 4" descr="http://cms.weihai.gov.cn/jcms/jcms_files/jcms1/web137/site/picture/0/604b9cd0021243af803fcc9cf507a4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http://cms.weihai.gov.cn/jcms/jcms_files/jcms1/web137/site/picture/0/604b9cd0021243af803fcc9cf507a493.png"/>
                    <pic:cNvPicPr>
                      <a:picLocks noChangeAspect="1" noChangeArrowheads="1"/>
                    </pic:cNvPicPr>
                  </pic:nvPicPr>
                  <pic:blipFill>
                    <a:blip r:embed="rId7" cstate="print"/>
                    <a:srcRect/>
                    <a:stretch>
                      <a:fillRect/>
                    </a:stretch>
                  </pic:blipFill>
                  <pic:spPr>
                    <a:xfrm>
                      <a:off x="0" y="0"/>
                      <a:ext cx="3152775" cy="3195320"/>
                    </a:xfrm>
                    <a:prstGeom prst="rect">
                      <a:avLst/>
                    </a:prstGeom>
                    <a:noFill/>
                    <a:ln w="9525">
                      <a:noFill/>
                      <a:miter lim="800000"/>
                      <a:headEnd/>
                      <a:tailEnd/>
                    </a:ln>
                  </pic:spPr>
                </pic:pic>
              </a:graphicData>
            </a:graphic>
          </wp:inline>
        </w:drawing>
      </w:r>
      <w:r>
        <w:rPr>
          <w:rFonts w:ascii="Arial" w:hAnsi="Arial" w:eastAsia="宋体" w:cs="Arial"/>
          <w:kern w:val="0"/>
          <w:sz w:val="24"/>
          <w:szCs w:val="24"/>
        </w:rPr>
        <w:t> </w:t>
      </w:r>
      <w:r>
        <w:rPr>
          <w:rFonts w:ascii="Arial" w:hAnsi="Arial" w:eastAsia="宋体" w:cs="Arial"/>
          <w:kern w:val="0"/>
          <w:sz w:val="24"/>
          <w:szCs w:val="24"/>
        </w:rPr>
        <w:drawing>
          <wp:inline distT="0" distB="0" distL="0" distR="0">
            <wp:extent cx="3164205" cy="3249295"/>
            <wp:effectExtent l="0" t="0" r="17145" b="8255"/>
            <wp:docPr id="5" name="图片 5" descr="http://cms.weihai.gov.cn/jcms/jcms_files/jcms1/web137/site/picture/0/c8328824db064255a69f3de5acd2b5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http://cms.weihai.gov.cn/jcms/jcms_files/jcms1/web137/site/picture/0/c8328824db064255a69f3de5acd2b590.png"/>
                    <pic:cNvPicPr>
                      <a:picLocks noChangeAspect="1" noChangeArrowheads="1"/>
                    </pic:cNvPicPr>
                  </pic:nvPicPr>
                  <pic:blipFill>
                    <a:blip r:embed="rId8" cstate="print"/>
                    <a:srcRect/>
                    <a:stretch>
                      <a:fillRect/>
                    </a:stretch>
                  </pic:blipFill>
                  <pic:spPr>
                    <a:xfrm>
                      <a:off x="0" y="0"/>
                      <a:ext cx="3164205" cy="3249295"/>
                    </a:xfrm>
                    <a:prstGeom prst="rect">
                      <a:avLst/>
                    </a:prstGeom>
                    <a:noFill/>
                    <a:ln w="9525">
                      <a:noFill/>
                      <a:miter lim="800000"/>
                      <a:headEnd/>
                      <a:tailEnd/>
                    </a:ln>
                  </pic:spPr>
                </pic:pic>
              </a:graphicData>
            </a:graphic>
          </wp:inline>
        </w:drawing>
      </w:r>
    </w:p>
    <w:p>
      <w:pPr>
        <w:widowControl/>
        <w:spacing w:line="480" w:lineRule="atLeast"/>
        <w:jc w:val="left"/>
        <w:rPr>
          <w:rFonts w:ascii="Arial" w:hAnsi="Arial" w:eastAsia="宋体" w:cs="Arial"/>
          <w:kern w:val="0"/>
          <w:sz w:val="24"/>
          <w:szCs w:val="24"/>
        </w:rPr>
      </w:pPr>
      <w:r>
        <w:rPr>
          <w:rFonts w:ascii="Arial" w:hAnsi="Arial" w:eastAsia="宋体" w:cs="Arial"/>
          <w:kern w:val="0"/>
          <w:sz w:val="24"/>
          <w:szCs w:val="24"/>
        </w:rPr>
        <w:t> </w:t>
      </w:r>
    </w:p>
    <w:p>
      <w:pPr>
        <w:widowControl/>
        <w:spacing w:line="480" w:lineRule="atLeast"/>
        <w:jc w:val="left"/>
        <w:rPr>
          <w:rFonts w:ascii="Arial" w:hAnsi="Arial" w:eastAsia="宋体" w:cs="Arial"/>
          <w:kern w:val="0"/>
          <w:sz w:val="24"/>
          <w:szCs w:val="24"/>
        </w:rPr>
      </w:pPr>
      <w:r>
        <w:rPr>
          <w:rFonts w:ascii="Arial" w:hAnsi="Arial" w:eastAsia="宋体" w:cs="Arial"/>
          <w:kern w:val="0"/>
          <w:sz w:val="24"/>
          <w:szCs w:val="24"/>
        </w:rPr>
        <w:t> </w:t>
      </w:r>
    </w:p>
    <w:p>
      <w:pPr>
        <w:widowControl/>
        <w:spacing w:line="555" w:lineRule="atLeast"/>
        <w:ind w:firstLine="645"/>
        <w:jc w:val="left"/>
        <w:rPr>
          <w:rFonts w:ascii="Arial" w:hAnsi="Arial" w:eastAsia="宋体" w:cs="Arial"/>
          <w:kern w:val="0"/>
          <w:sz w:val="24"/>
          <w:szCs w:val="24"/>
        </w:rPr>
      </w:pPr>
      <w:r>
        <w:rPr>
          <w:rFonts w:hint="eastAsia" w:ascii="仿宋_GB2312" w:hAnsi="Arial" w:eastAsia="仿宋_GB2312" w:cs="Arial"/>
          <w:color w:val="3D3D3D"/>
          <w:kern w:val="0"/>
          <w:sz w:val="32"/>
          <w:szCs w:val="32"/>
          <w:shd w:val="clear" w:color="auto" w:fill="FFFFFF"/>
        </w:rPr>
        <w:t>（五）监督保障情况</w:t>
      </w:r>
    </w:p>
    <w:p>
      <w:pPr>
        <w:widowControl/>
        <w:spacing w:line="555" w:lineRule="atLeast"/>
        <w:ind w:firstLine="645"/>
        <w:jc w:val="left"/>
        <w:rPr>
          <w:rFonts w:ascii="Arial" w:hAnsi="Arial" w:eastAsia="宋体" w:cs="Arial"/>
          <w:kern w:val="0"/>
          <w:sz w:val="24"/>
          <w:szCs w:val="24"/>
        </w:rPr>
      </w:pPr>
      <w:r>
        <w:rPr>
          <w:rFonts w:hint="eastAsia" w:ascii="仿宋_GB2312" w:hAnsi="Arial" w:eastAsia="仿宋_GB2312" w:cs="Arial"/>
          <w:color w:val="333333"/>
          <w:kern w:val="0"/>
          <w:sz w:val="32"/>
          <w:szCs w:val="32"/>
        </w:rPr>
        <w:t>积极落实政府信息公开工作考核制度，将相关考核结果纳入年度考核范畴。完善社会评议制度和责任追究制度，欢迎群众对我局政府信息公开工作进行评议监督，保障人民群众的知情权和监督权，确保政府信息公开、透明。</w:t>
      </w:r>
    </w:p>
    <w:p>
      <w:pPr>
        <w:widowControl/>
        <w:spacing w:line="480" w:lineRule="atLeast"/>
        <w:jc w:val="left"/>
        <w:rPr>
          <w:rFonts w:ascii="Arial" w:hAnsi="Arial" w:eastAsia="宋体" w:cs="Arial"/>
          <w:kern w:val="0"/>
          <w:sz w:val="24"/>
          <w:szCs w:val="24"/>
        </w:rPr>
      </w:pPr>
      <w:r>
        <w:rPr>
          <w:rFonts w:ascii="Arial" w:hAnsi="Arial" w:eastAsia="宋体" w:cs="Arial"/>
          <w:kern w:val="0"/>
          <w:sz w:val="24"/>
          <w:szCs w:val="24"/>
        </w:rPr>
        <w:t xml:space="preserve">             </w:t>
      </w:r>
      <w:r>
        <w:rPr>
          <w:rFonts w:hint="eastAsia" w:ascii="黑体" w:hAnsi="黑体" w:eastAsia="黑体" w:cs="Arial"/>
          <w:color w:val="333333"/>
          <w:kern w:val="0"/>
          <w:sz w:val="32"/>
          <w:szCs w:val="32"/>
        </w:rPr>
        <w:t>二、主动公开政府信息情况</w:t>
      </w:r>
    </w:p>
    <w:p>
      <w:pPr>
        <w:widowControl/>
        <w:shd w:val="clear" w:color="auto" w:fill="FFFFFF"/>
        <w:spacing w:line="555" w:lineRule="atLeast"/>
        <w:ind w:firstLine="645"/>
        <w:jc w:val="left"/>
        <w:rPr>
          <w:rFonts w:ascii="Arial" w:hAnsi="Arial" w:eastAsia="宋体" w:cs="Arial"/>
          <w:kern w:val="0"/>
          <w:sz w:val="24"/>
          <w:szCs w:val="24"/>
        </w:rPr>
      </w:pPr>
      <w:r>
        <w:rPr>
          <w:rFonts w:hint="eastAsia" w:ascii="宋体" w:hAnsi="宋体" w:eastAsia="宋体" w:cs="宋体"/>
          <w:color w:val="333333"/>
          <w:kern w:val="0"/>
          <w:sz w:val="32"/>
          <w:szCs w:val="32"/>
        </w:rPr>
        <w:t> </w:t>
      </w:r>
    </w:p>
    <w:tbl>
      <w:tblPr>
        <w:tblStyle w:val="6"/>
        <w:tblW w:w="8145" w:type="dxa"/>
        <w:jc w:val="center"/>
        <w:tblInd w:w="0" w:type="dxa"/>
        <w:tblLayout w:type="fixed"/>
        <w:tblCellMar>
          <w:top w:w="0" w:type="dxa"/>
          <w:left w:w="0" w:type="dxa"/>
          <w:bottom w:w="0" w:type="dxa"/>
          <w:right w:w="0" w:type="dxa"/>
        </w:tblCellMar>
      </w:tblPr>
      <w:tblGrid>
        <w:gridCol w:w="3120"/>
        <w:gridCol w:w="1875"/>
        <w:gridCol w:w="1275"/>
        <w:gridCol w:w="1875"/>
      </w:tblGrid>
      <w:tr>
        <w:tblPrEx>
          <w:tblLayout w:type="fixed"/>
          <w:tblCellMar>
            <w:top w:w="0" w:type="dxa"/>
            <w:left w:w="0" w:type="dxa"/>
            <w:bottom w:w="0" w:type="dxa"/>
            <w:right w:w="0" w:type="dxa"/>
          </w:tblCellMar>
        </w:tblPrEx>
        <w:trPr>
          <w:trHeight w:val="495" w:hRule="atLeast"/>
          <w:jc w:val="center"/>
        </w:trPr>
        <w:tc>
          <w:tcPr>
            <w:tcW w:w="8145" w:type="dxa"/>
            <w:gridSpan w:val="4"/>
            <w:tcBorders>
              <w:top w:val="single" w:color="auto" w:sz="6" w:space="0"/>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第二十条第（一）项</w:t>
            </w:r>
          </w:p>
        </w:tc>
      </w:tr>
      <w:tr>
        <w:tblPrEx>
          <w:tblLayout w:type="fixed"/>
          <w:tblCellMar>
            <w:top w:w="0" w:type="dxa"/>
            <w:left w:w="0" w:type="dxa"/>
            <w:bottom w:w="0" w:type="dxa"/>
            <w:right w:w="0" w:type="dxa"/>
          </w:tblCellMar>
        </w:tblPrEx>
        <w:trPr>
          <w:trHeight w:val="88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信息内容</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本年新</w:t>
            </w:r>
          </w:p>
          <w:p>
            <w:pPr>
              <w:widowControl/>
              <w:spacing w:line="345" w:lineRule="atLeast"/>
              <w:jc w:val="left"/>
              <w:rPr>
                <w:rFonts w:ascii="Arial" w:hAnsi="Arial" w:eastAsia="宋体" w:cs="Arial"/>
                <w:kern w:val="0"/>
                <w:sz w:val="24"/>
                <w:szCs w:val="24"/>
              </w:rPr>
            </w:pPr>
            <w:r>
              <w:rPr>
                <w:rFonts w:hint="eastAsia" w:ascii="宋体" w:hAnsi="宋体" w:eastAsia="宋体" w:cs="Arial"/>
                <w:color w:val="3D3D3D"/>
                <w:kern w:val="0"/>
                <w:sz w:val="15"/>
                <w:szCs w:val="15"/>
              </w:rPr>
              <w:t>制作数量</w:t>
            </w:r>
          </w:p>
        </w:tc>
        <w:tc>
          <w:tcPr>
            <w:tcW w:w="12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本年新</w:t>
            </w:r>
          </w:p>
          <w:p>
            <w:pPr>
              <w:widowControl/>
              <w:spacing w:line="345" w:lineRule="atLeast"/>
              <w:jc w:val="left"/>
              <w:rPr>
                <w:rFonts w:ascii="Arial" w:hAnsi="Arial" w:eastAsia="宋体" w:cs="Arial"/>
                <w:kern w:val="0"/>
                <w:sz w:val="24"/>
                <w:szCs w:val="24"/>
              </w:rPr>
            </w:pPr>
            <w:r>
              <w:rPr>
                <w:rFonts w:hint="eastAsia" w:ascii="宋体" w:hAnsi="宋体" w:eastAsia="宋体" w:cs="Arial"/>
                <w:color w:val="3D3D3D"/>
                <w:kern w:val="0"/>
                <w:sz w:val="15"/>
                <w:szCs w:val="15"/>
              </w:rPr>
              <w:t>公开数量</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对外公开总数量</w:t>
            </w:r>
          </w:p>
        </w:tc>
      </w:tr>
      <w:tr>
        <w:tblPrEx>
          <w:tblLayout w:type="fixed"/>
          <w:tblCellMar>
            <w:top w:w="0" w:type="dxa"/>
            <w:left w:w="0" w:type="dxa"/>
            <w:bottom w:w="0" w:type="dxa"/>
            <w:right w:w="0" w:type="dxa"/>
          </w:tblCellMar>
        </w:tblPrEx>
        <w:trPr>
          <w:trHeight w:val="52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hint="eastAsia" w:ascii="宋体" w:hAnsi="宋体" w:eastAsia="宋体" w:cs="Arial"/>
                <w:color w:val="000000"/>
                <w:kern w:val="0"/>
                <w:sz w:val="15"/>
                <w:szCs w:val="15"/>
              </w:rPr>
              <w:t>规章</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0</w:t>
            </w:r>
          </w:p>
        </w:tc>
        <w:tc>
          <w:tcPr>
            <w:tcW w:w="12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trHeight w:val="46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hint="eastAsia" w:ascii="宋体" w:hAnsi="宋体" w:eastAsia="宋体" w:cs="Arial"/>
                <w:color w:val="000000"/>
                <w:kern w:val="0"/>
                <w:sz w:val="15"/>
                <w:szCs w:val="15"/>
              </w:rPr>
              <w:t>规范性文件</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0</w:t>
            </w:r>
          </w:p>
        </w:tc>
        <w:tc>
          <w:tcPr>
            <w:tcW w:w="12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第二十条第（五）项</w:t>
            </w:r>
          </w:p>
        </w:tc>
      </w:tr>
      <w:tr>
        <w:tblPrEx>
          <w:tblLayout w:type="fixed"/>
          <w:tblCellMar>
            <w:top w:w="0" w:type="dxa"/>
            <w:left w:w="0" w:type="dxa"/>
            <w:bottom w:w="0" w:type="dxa"/>
            <w:right w:w="0" w:type="dxa"/>
          </w:tblCellMar>
        </w:tblPrEx>
        <w:trPr>
          <w:trHeight w:val="63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信息内容</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上一年项目数量</w:t>
            </w:r>
          </w:p>
        </w:tc>
        <w:tc>
          <w:tcPr>
            <w:tcW w:w="12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本年增</w:t>
            </w:r>
            <w:r>
              <w:rPr>
                <w:rFonts w:ascii="Times New Roman" w:hAnsi="Times New Roman" w:eastAsia="宋体" w:cs="Times New Roman"/>
                <w:color w:val="000000"/>
                <w:kern w:val="0"/>
                <w:sz w:val="15"/>
                <w:szCs w:val="15"/>
              </w:rPr>
              <w:t>/</w:t>
            </w:r>
            <w:r>
              <w:rPr>
                <w:rFonts w:hint="eastAsia" w:ascii="宋体" w:hAnsi="宋体" w:eastAsia="宋体" w:cs="Arial"/>
                <w:color w:val="000000"/>
                <w:kern w:val="0"/>
                <w:sz w:val="15"/>
                <w:szCs w:val="15"/>
              </w:rPr>
              <w:t>减</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处理决定数量</w:t>
            </w:r>
          </w:p>
        </w:tc>
      </w:tr>
      <w:tr>
        <w:tblPrEx>
          <w:tblLayout w:type="fixed"/>
          <w:tblCellMar>
            <w:top w:w="0" w:type="dxa"/>
            <w:left w:w="0" w:type="dxa"/>
            <w:bottom w:w="0" w:type="dxa"/>
            <w:right w:w="0" w:type="dxa"/>
          </w:tblCellMar>
        </w:tblPrEx>
        <w:trPr>
          <w:trHeight w:val="525" w:hRule="atLeast"/>
          <w:jc w:val="center"/>
        </w:trPr>
        <w:tc>
          <w:tcPr>
            <w:tcW w:w="3120" w:type="dxa"/>
            <w:tcBorders>
              <w:top w:val="nil"/>
              <w:left w:val="single" w:color="auto" w:sz="6" w:space="0"/>
              <w:bottom w:val="single" w:color="auto" w:sz="6" w:space="0"/>
              <w:right w:val="single" w:color="auto" w:sz="6" w:space="0"/>
            </w:tcBorders>
            <w:shd w:val="clear" w:color="auto" w:fill="auto"/>
            <w:vAlign w:val="center"/>
          </w:tcPr>
          <w:p>
            <w:pPr>
              <w:widowControl/>
              <w:spacing w:line="345" w:lineRule="atLeast"/>
              <w:jc w:val="left"/>
              <w:rPr>
                <w:rFonts w:ascii="Arial" w:hAnsi="Arial" w:eastAsia="宋体" w:cs="Arial"/>
                <w:kern w:val="0"/>
                <w:sz w:val="24"/>
                <w:szCs w:val="24"/>
              </w:rPr>
            </w:pPr>
            <w:r>
              <w:rPr>
                <w:rFonts w:hint="eastAsia" w:ascii="宋体" w:hAnsi="宋体" w:eastAsia="宋体" w:cs="Arial"/>
                <w:color w:val="000000"/>
                <w:kern w:val="0"/>
                <w:sz w:val="15"/>
                <w:szCs w:val="15"/>
              </w:rPr>
              <w:t>行政许可</w:t>
            </w:r>
          </w:p>
        </w:tc>
        <w:tc>
          <w:tcPr>
            <w:tcW w:w="1875" w:type="dxa"/>
            <w:tcBorders>
              <w:top w:val="nil"/>
              <w:left w:val="nil"/>
              <w:bottom w:val="single" w:color="auto" w:sz="6" w:space="0"/>
              <w:right w:val="single" w:color="auto" w:sz="6" w:space="0"/>
            </w:tcBorders>
            <w:shd w:val="clear" w:color="auto" w:fill="auto"/>
            <w:vAlign w:val="center"/>
          </w:tcPr>
          <w:p>
            <w:pPr>
              <w:widowControl/>
              <w:spacing w:line="345" w:lineRule="atLeast"/>
              <w:jc w:val="center"/>
              <w:rPr>
                <w:rFonts w:hint="eastAsia" w:ascii="Arial" w:hAnsi="Arial" w:eastAsia="宋体" w:cs="Arial"/>
                <w:kern w:val="0"/>
                <w:sz w:val="24"/>
                <w:szCs w:val="24"/>
                <w:lang w:val="en-US" w:eastAsia="zh-CN"/>
              </w:rPr>
            </w:pPr>
            <w:r>
              <w:rPr>
                <w:rFonts w:hint="eastAsia" w:ascii="宋体" w:hAnsi="宋体" w:eastAsia="宋体" w:cs="Arial"/>
                <w:color w:val="000000"/>
                <w:kern w:val="0"/>
                <w:sz w:val="15"/>
                <w:szCs w:val="15"/>
                <w:lang w:val="en-US" w:eastAsia="zh-CN"/>
              </w:rPr>
              <w:t>17</w:t>
            </w:r>
          </w:p>
        </w:tc>
        <w:tc>
          <w:tcPr>
            <w:tcW w:w="12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trHeight w:val="555" w:hRule="atLeast"/>
          <w:jc w:val="center"/>
        </w:trPr>
        <w:tc>
          <w:tcPr>
            <w:tcW w:w="3120" w:type="dxa"/>
            <w:tcBorders>
              <w:top w:val="nil"/>
              <w:left w:val="single" w:color="auto" w:sz="6" w:space="0"/>
              <w:bottom w:val="single" w:color="auto" w:sz="6" w:space="0"/>
              <w:right w:val="single" w:color="auto" w:sz="6" w:space="0"/>
            </w:tcBorders>
            <w:shd w:val="clear" w:color="auto" w:fill="auto"/>
            <w:vAlign w:val="center"/>
          </w:tcPr>
          <w:p>
            <w:pPr>
              <w:widowControl/>
              <w:spacing w:line="345" w:lineRule="atLeast"/>
              <w:jc w:val="left"/>
              <w:rPr>
                <w:rFonts w:ascii="Arial" w:hAnsi="Arial" w:eastAsia="宋体" w:cs="Arial"/>
                <w:kern w:val="0"/>
                <w:sz w:val="24"/>
                <w:szCs w:val="24"/>
              </w:rPr>
            </w:pPr>
            <w:r>
              <w:rPr>
                <w:rFonts w:hint="eastAsia" w:ascii="宋体" w:hAnsi="宋体" w:eastAsia="宋体" w:cs="Arial"/>
                <w:color w:val="000000"/>
                <w:kern w:val="0"/>
                <w:sz w:val="15"/>
                <w:szCs w:val="15"/>
              </w:rPr>
              <w:t>其他对外管理服务事项</w:t>
            </w:r>
          </w:p>
        </w:tc>
        <w:tc>
          <w:tcPr>
            <w:tcW w:w="1875" w:type="dxa"/>
            <w:tcBorders>
              <w:top w:val="nil"/>
              <w:left w:val="nil"/>
              <w:bottom w:val="single" w:color="auto" w:sz="6" w:space="0"/>
              <w:right w:val="single" w:color="auto" w:sz="6" w:space="0"/>
            </w:tcBorders>
            <w:shd w:val="clear" w:color="auto" w:fill="auto"/>
            <w:vAlign w:val="center"/>
          </w:tcPr>
          <w:p>
            <w:pPr>
              <w:widowControl/>
              <w:spacing w:line="345" w:lineRule="atLeast"/>
              <w:jc w:val="center"/>
              <w:rPr>
                <w:rFonts w:hint="eastAsia" w:ascii="Arial" w:hAnsi="Arial" w:eastAsia="宋体" w:cs="Arial"/>
                <w:kern w:val="0"/>
                <w:sz w:val="24"/>
                <w:szCs w:val="24"/>
                <w:lang w:val="en-US" w:eastAsia="zh-CN"/>
              </w:rPr>
            </w:pPr>
            <w:r>
              <w:rPr>
                <w:rFonts w:hint="eastAsia" w:ascii="宋体" w:hAnsi="宋体" w:eastAsia="宋体" w:cs="Arial"/>
                <w:color w:val="000000"/>
                <w:kern w:val="0"/>
                <w:sz w:val="15"/>
                <w:szCs w:val="15"/>
                <w:lang w:val="en-US" w:eastAsia="zh-CN"/>
              </w:rPr>
              <w:t>57</w:t>
            </w:r>
          </w:p>
        </w:tc>
        <w:tc>
          <w:tcPr>
            <w:tcW w:w="12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trHeight w:val="405"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第二十条第（六）项</w:t>
            </w:r>
          </w:p>
        </w:tc>
      </w:tr>
      <w:tr>
        <w:tblPrEx>
          <w:tblLayout w:type="fixed"/>
          <w:tblCellMar>
            <w:top w:w="0" w:type="dxa"/>
            <w:left w:w="0" w:type="dxa"/>
            <w:bottom w:w="0" w:type="dxa"/>
            <w:right w:w="0" w:type="dxa"/>
          </w:tblCellMar>
        </w:tblPrEx>
        <w:trPr>
          <w:trHeight w:val="63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信息内容</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上一年项目数量</w:t>
            </w:r>
          </w:p>
        </w:tc>
        <w:tc>
          <w:tcPr>
            <w:tcW w:w="12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本年增</w:t>
            </w:r>
            <w:r>
              <w:rPr>
                <w:rFonts w:ascii="Times New Roman" w:hAnsi="Times New Roman" w:eastAsia="宋体" w:cs="Times New Roman"/>
                <w:color w:val="000000"/>
                <w:kern w:val="0"/>
                <w:sz w:val="15"/>
                <w:szCs w:val="15"/>
              </w:rPr>
              <w:t>/</w:t>
            </w:r>
            <w:r>
              <w:rPr>
                <w:rFonts w:hint="eastAsia" w:ascii="宋体" w:hAnsi="宋体" w:eastAsia="宋体" w:cs="Arial"/>
                <w:color w:val="000000"/>
                <w:kern w:val="0"/>
                <w:sz w:val="15"/>
                <w:szCs w:val="15"/>
              </w:rPr>
              <w:t>减</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处理决定数量</w:t>
            </w:r>
          </w:p>
        </w:tc>
      </w:tr>
      <w:tr>
        <w:tblPrEx>
          <w:tblLayout w:type="fixed"/>
          <w:tblCellMar>
            <w:top w:w="0" w:type="dxa"/>
            <w:left w:w="0" w:type="dxa"/>
            <w:bottom w:w="0" w:type="dxa"/>
            <w:right w:w="0" w:type="dxa"/>
          </w:tblCellMar>
        </w:tblPrEx>
        <w:trPr>
          <w:trHeight w:val="435" w:hRule="atLeast"/>
          <w:jc w:val="center"/>
        </w:trPr>
        <w:tc>
          <w:tcPr>
            <w:tcW w:w="3120" w:type="dxa"/>
            <w:tcBorders>
              <w:top w:val="nil"/>
              <w:left w:val="single" w:color="auto" w:sz="6" w:space="0"/>
              <w:bottom w:val="single" w:color="auto" w:sz="6" w:space="0"/>
              <w:right w:val="single" w:color="auto" w:sz="6" w:space="0"/>
            </w:tcBorders>
            <w:shd w:val="clear" w:color="auto" w:fill="auto"/>
            <w:vAlign w:val="center"/>
          </w:tcPr>
          <w:p>
            <w:pPr>
              <w:widowControl/>
              <w:spacing w:line="345" w:lineRule="atLeast"/>
              <w:jc w:val="left"/>
              <w:rPr>
                <w:rFonts w:ascii="Arial" w:hAnsi="Arial" w:eastAsia="宋体" w:cs="Arial"/>
                <w:kern w:val="0"/>
                <w:sz w:val="24"/>
                <w:szCs w:val="24"/>
              </w:rPr>
            </w:pPr>
            <w:r>
              <w:rPr>
                <w:rFonts w:hint="eastAsia" w:ascii="宋体" w:hAnsi="宋体" w:eastAsia="宋体" w:cs="Arial"/>
                <w:color w:val="000000"/>
                <w:kern w:val="0"/>
                <w:sz w:val="15"/>
                <w:szCs w:val="15"/>
              </w:rPr>
              <w:t>行政处罚</w:t>
            </w:r>
          </w:p>
        </w:tc>
        <w:tc>
          <w:tcPr>
            <w:tcW w:w="1875" w:type="dxa"/>
            <w:tcBorders>
              <w:top w:val="nil"/>
              <w:left w:val="nil"/>
              <w:bottom w:val="single" w:color="auto" w:sz="6" w:space="0"/>
              <w:right w:val="single" w:color="auto" w:sz="6" w:space="0"/>
            </w:tcBorders>
            <w:shd w:val="clear" w:color="auto" w:fill="auto"/>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0</w:t>
            </w:r>
          </w:p>
        </w:tc>
        <w:tc>
          <w:tcPr>
            <w:tcW w:w="12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trHeight w:val="405" w:hRule="atLeast"/>
          <w:jc w:val="center"/>
        </w:trPr>
        <w:tc>
          <w:tcPr>
            <w:tcW w:w="3120" w:type="dxa"/>
            <w:tcBorders>
              <w:top w:val="nil"/>
              <w:left w:val="single" w:color="auto" w:sz="6" w:space="0"/>
              <w:bottom w:val="single" w:color="auto" w:sz="6" w:space="0"/>
              <w:right w:val="single" w:color="auto" w:sz="6" w:space="0"/>
            </w:tcBorders>
            <w:shd w:val="clear" w:color="auto" w:fill="auto"/>
            <w:vAlign w:val="center"/>
          </w:tcPr>
          <w:p>
            <w:pPr>
              <w:widowControl/>
              <w:spacing w:line="345" w:lineRule="atLeast"/>
              <w:jc w:val="left"/>
              <w:rPr>
                <w:rFonts w:ascii="Arial" w:hAnsi="Arial" w:eastAsia="宋体" w:cs="Arial"/>
                <w:kern w:val="0"/>
                <w:sz w:val="24"/>
                <w:szCs w:val="24"/>
              </w:rPr>
            </w:pPr>
            <w:r>
              <w:rPr>
                <w:rFonts w:hint="eastAsia" w:ascii="宋体" w:hAnsi="宋体" w:eastAsia="宋体" w:cs="Arial"/>
                <w:color w:val="000000"/>
                <w:kern w:val="0"/>
                <w:sz w:val="15"/>
                <w:szCs w:val="15"/>
              </w:rPr>
              <w:t>行政强制</w:t>
            </w:r>
          </w:p>
        </w:tc>
        <w:tc>
          <w:tcPr>
            <w:tcW w:w="1875" w:type="dxa"/>
            <w:tcBorders>
              <w:top w:val="nil"/>
              <w:left w:val="nil"/>
              <w:bottom w:val="single" w:color="auto" w:sz="6" w:space="0"/>
              <w:right w:val="single" w:color="auto" w:sz="6" w:space="0"/>
            </w:tcBorders>
            <w:shd w:val="clear" w:color="auto" w:fill="auto"/>
            <w:vAlign w:val="center"/>
          </w:tcPr>
          <w:p>
            <w:pPr>
              <w:widowControl/>
              <w:spacing w:line="345" w:lineRule="atLeast"/>
              <w:jc w:val="center"/>
              <w:rPr>
                <w:rFonts w:hint="eastAsia" w:ascii="Arial" w:hAnsi="Arial" w:eastAsia="宋体" w:cs="Arial"/>
                <w:kern w:val="0"/>
                <w:sz w:val="24"/>
                <w:szCs w:val="24"/>
                <w:lang w:eastAsia="zh-CN"/>
              </w:rPr>
            </w:pPr>
            <w:r>
              <w:rPr>
                <w:rFonts w:hint="eastAsia" w:ascii="宋体" w:hAnsi="宋体" w:eastAsia="宋体" w:cs="Arial"/>
                <w:color w:val="000000"/>
                <w:kern w:val="0"/>
                <w:sz w:val="15"/>
                <w:szCs w:val="15"/>
                <w:lang w:val="en-US" w:eastAsia="zh-CN"/>
              </w:rPr>
              <w:t>7</w:t>
            </w:r>
          </w:p>
        </w:tc>
        <w:tc>
          <w:tcPr>
            <w:tcW w:w="12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第二十条第（八）项</w:t>
            </w:r>
          </w:p>
        </w:tc>
      </w:tr>
      <w:tr>
        <w:tblPrEx>
          <w:tblLayout w:type="fixed"/>
          <w:tblCellMar>
            <w:top w:w="0" w:type="dxa"/>
            <w:left w:w="0" w:type="dxa"/>
            <w:bottom w:w="0" w:type="dxa"/>
            <w:right w:w="0" w:type="dxa"/>
          </w:tblCellMar>
        </w:tblPrEx>
        <w:trPr>
          <w:trHeight w:val="27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信息内容</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hint="eastAsia" w:ascii="宋体" w:hAnsi="宋体" w:eastAsia="宋体" w:cs="Arial"/>
                <w:color w:val="000000"/>
                <w:kern w:val="0"/>
                <w:sz w:val="15"/>
                <w:szCs w:val="15"/>
              </w:rPr>
              <w:t>上一年项目数量</w:t>
            </w:r>
          </w:p>
        </w:tc>
        <w:tc>
          <w:tcPr>
            <w:tcW w:w="3150" w:type="dxa"/>
            <w:gridSpan w:val="2"/>
            <w:tcBorders>
              <w:top w:val="nil"/>
              <w:left w:val="nil"/>
              <w:bottom w:val="single" w:color="auto" w:sz="6" w:space="0"/>
              <w:right w:val="single" w:color="000000"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本年增</w:t>
            </w:r>
            <w:r>
              <w:rPr>
                <w:rFonts w:ascii="Times New Roman" w:hAnsi="Times New Roman" w:eastAsia="宋体" w:cs="Times New Roman"/>
                <w:color w:val="000000"/>
                <w:kern w:val="0"/>
                <w:sz w:val="15"/>
                <w:szCs w:val="15"/>
              </w:rPr>
              <w:t>/</w:t>
            </w:r>
            <w:r>
              <w:rPr>
                <w:rFonts w:hint="eastAsia" w:ascii="宋体" w:hAnsi="宋体" w:eastAsia="宋体" w:cs="Arial"/>
                <w:color w:val="000000"/>
                <w:kern w:val="0"/>
                <w:sz w:val="15"/>
                <w:szCs w:val="15"/>
              </w:rPr>
              <w:t>减</w:t>
            </w:r>
          </w:p>
        </w:tc>
      </w:tr>
      <w:tr>
        <w:tblPrEx>
          <w:tblLayout w:type="fixed"/>
          <w:tblCellMar>
            <w:top w:w="0" w:type="dxa"/>
            <w:left w:w="0" w:type="dxa"/>
            <w:bottom w:w="0" w:type="dxa"/>
            <w:right w:w="0" w:type="dxa"/>
          </w:tblCellMar>
        </w:tblPrEx>
        <w:trPr>
          <w:trHeight w:val="55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hint="eastAsia" w:ascii="宋体" w:hAnsi="宋体" w:eastAsia="宋体" w:cs="Arial"/>
                <w:color w:val="000000"/>
                <w:kern w:val="0"/>
                <w:sz w:val="15"/>
                <w:szCs w:val="15"/>
              </w:rPr>
              <w:t>行政事业性收费</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0</w:t>
            </w:r>
          </w:p>
        </w:tc>
        <w:tc>
          <w:tcPr>
            <w:tcW w:w="3150" w:type="dxa"/>
            <w:gridSpan w:val="2"/>
            <w:tcBorders>
              <w:top w:val="nil"/>
              <w:left w:val="nil"/>
              <w:bottom w:val="single" w:color="auto" w:sz="6" w:space="0"/>
              <w:right w:val="single" w:color="000000" w:sz="6" w:space="0"/>
            </w:tcBorders>
            <w:shd w:val="clear" w:color="auto" w:fill="auto"/>
            <w:tcMar>
              <w:top w:w="0" w:type="dxa"/>
              <w:left w:w="75" w:type="dxa"/>
              <w:bottom w:w="0" w:type="dxa"/>
              <w:right w:w="75" w:type="dxa"/>
            </w:tcMar>
            <w:vAlign w:val="center"/>
          </w:tcPr>
          <w:p>
            <w:pPr>
              <w:widowControl/>
              <w:jc w:val="center"/>
              <w:rPr>
                <w:rFonts w:hint="eastAsia" w:ascii="Arial" w:hAnsi="Arial" w:eastAsia="宋体" w:cs="Arial"/>
                <w:kern w:val="0"/>
                <w:sz w:val="24"/>
                <w:szCs w:val="24"/>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第二十条第（九）项</w:t>
            </w:r>
          </w:p>
        </w:tc>
      </w:tr>
      <w:tr>
        <w:tblPrEx>
          <w:tblLayout w:type="fixed"/>
          <w:tblCellMar>
            <w:top w:w="0" w:type="dxa"/>
            <w:left w:w="0" w:type="dxa"/>
            <w:bottom w:w="0" w:type="dxa"/>
            <w:right w:w="0" w:type="dxa"/>
          </w:tblCellMar>
        </w:tblPrEx>
        <w:trPr>
          <w:trHeight w:val="58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信息内容</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采购项目数量</w:t>
            </w:r>
          </w:p>
        </w:tc>
        <w:tc>
          <w:tcPr>
            <w:tcW w:w="3150" w:type="dxa"/>
            <w:gridSpan w:val="2"/>
            <w:tcBorders>
              <w:top w:val="nil"/>
              <w:left w:val="nil"/>
              <w:bottom w:val="single" w:color="auto" w:sz="6" w:space="0"/>
              <w:right w:val="single" w:color="000000"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采购总金额</w:t>
            </w:r>
          </w:p>
        </w:tc>
      </w:tr>
      <w:tr>
        <w:tblPrEx>
          <w:tblLayout w:type="fixed"/>
          <w:tblCellMar>
            <w:top w:w="0" w:type="dxa"/>
            <w:left w:w="0" w:type="dxa"/>
            <w:bottom w:w="0" w:type="dxa"/>
            <w:right w:w="0" w:type="dxa"/>
          </w:tblCellMar>
        </w:tblPrEx>
        <w:trPr>
          <w:trHeight w:val="54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hint="eastAsia" w:ascii="宋体" w:hAnsi="宋体" w:eastAsia="宋体" w:cs="Arial"/>
                <w:color w:val="000000"/>
                <w:kern w:val="0"/>
                <w:sz w:val="15"/>
                <w:szCs w:val="15"/>
              </w:rPr>
              <w:t>政府集中采购</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0</w:t>
            </w:r>
          </w:p>
        </w:tc>
        <w:tc>
          <w:tcPr>
            <w:tcW w:w="3150" w:type="dxa"/>
            <w:gridSpan w:val="2"/>
            <w:tcBorders>
              <w:top w:val="nil"/>
              <w:left w:val="nil"/>
              <w:bottom w:val="single" w:color="auto" w:sz="6" w:space="0"/>
              <w:right w:val="single" w:color="000000" w:sz="6" w:space="0"/>
            </w:tcBorders>
            <w:shd w:val="clear" w:color="auto" w:fill="auto"/>
            <w:tcMar>
              <w:top w:w="0" w:type="dxa"/>
              <w:left w:w="75" w:type="dxa"/>
              <w:bottom w:w="0" w:type="dxa"/>
              <w:right w:w="75" w:type="dxa"/>
            </w:tcMar>
            <w:vAlign w:val="center"/>
          </w:tcPr>
          <w:p>
            <w:pPr>
              <w:widowControl/>
              <w:jc w:val="center"/>
              <w:rPr>
                <w:rFonts w:hint="eastAsia" w:ascii="Arial" w:hAnsi="Arial" w:eastAsia="宋体" w:cs="Arial"/>
                <w:kern w:val="0"/>
                <w:sz w:val="24"/>
                <w:szCs w:val="24"/>
                <w:lang w:val="en-US" w:eastAsia="zh-CN"/>
              </w:rPr>
            </w:pPr>
            <w:r>
              <w:rPr>
                <w:rFonts w:hint="eastAsia" w:asciiTheme="minorEastAsia" w:hAnsiTheme="minorEastAsia" w:eastAsiaTheme="minorEastAsia" w:cstheme="minorEastAsia"/>
                <w:kern w:val="0"/>
                <w:sz w:val="18"/>
                <w:szCs w:val="18"/>
                <w:lang w:val="en-US" w:eastAsia="zh-CN"/>
              </w:rPr>
              <w:t>0</w:t>
            </w:r>
          </w:p>
        </w:tc>
      </w:tr>
    </w:tbl>
    <w:p>
      <w:pPr>
        <w:widowControl/>
        <w:shd w:val="clear" w:color="auto" w:fill="FFFFFF"/>
        <w:spacing w:line="555" w:lineRule="atLeast"/>
        <w:ind w:firstLine="645"/>
        <w:jc w:val="left"/>
        <w:rPr>
          <w:rFonts w:ascii="Arial" w:hAnsi="Arial" w:eastAsia="宋体" w:cs="Arial"/>
          <w:kern w:val="0"/>
          <w:sz w:val="24"/>
          <w:szCs w:val="24"/>
        </w:rPr>
      </w:pPr>
      <w:r>
        <w:rPr>
          <w:rFonts w:hint="eastAsia" w:ascii="宋体" w:hAnsi="宋体" w:eastAsia="宋体" w:cs="宋体"/>
          <w:color w:val="333333"/>
          <w:kern w:val="0"/>
          <w:sz w:val="32"/>
          <w:szCs w:val="32"/>
        </w:rPr>
        <w:t> </w:t>
      </w:r>
    </w:p>
    <w:p>
      <w:pPr>
        <w:widowControl/>
        <w:shd w:val="clear" w:color="auto" w:fill="FFFFFF"/>
        <w:spacing w:line="555" w:lineRule="atLeast"/>
        <w:ind w:firstLine="645"/>
        <w:jc w:val="left"/>
        <w:rPr>
          <w:rFonts w:ascii="Arial" w:hAnsi="Arial" w:eastAsia="宋体" w:cs="Arial"/>
          <w:kern w:val="0"/>
          <w:sz w:val="24"/>
          <w:szCs w:val="24"/>
        </w:rPr>
      </w:pPr>
      <w:r>
        <w:rPr>
          <w:rFonts w:hint="eastAsia" w:ascii="黑体" w:hAnsi="黑体" w:eastAsia="黑体" w:cs="Arial"/>
          <w:color w:val="333333"/>
          <w:kern w:val="0"/>
          <w:sz w:val="32"/>
          <w:szCs w:val="32"/>
        </w:rPr>
        <w:t>三、收到和处理政府信息公开申请情况</w:t>
      </w:r>
    </w:p>
    <w:p>
      <w:pPr>
        <w:widowControl/>
        <w:shd w:val="clear" w:color="auto" w:fill="FFFFFF"/>
        <w:spacing w:line="555" w:lineRule="atLeast"/>
        <w:ind w:firstLine="645"/>
        <w:jc w:val="left"/>
        <w:rPr>
          <w:rFonts w:ascii="Arial" w:hAnsi="Arial" w:eastAsia="宋体" w:cs="Arial"/>
          <w:kern w:val="0"/>
          <w:sz w:val="24"/>
          <w:szCs w:val="24"/>
        </w:rPr>
      </w:pPr>
      <w:r>
        <w:rPr>
          <w:rFonts w:hint="eastAsia" w:ascii="宋体" w:hAnsi="宋体" w:eastAsia="宋体" w:cs="宋体"/>
          <w:color w:val="333333"/>
          <w:kern w:val="0"/>
          <w:sz w:val="32"/>
          <w:szCs w:val="32"/>
        </w:rPr>
        <w:t> </w:t>
      </w:r>
    </w:p>
    <w:tbl>
      <w:tblPr>
        <w:tblStyle w:val="6"/>
        <w:tblW w:w="7470" w:type="dxa"/>
        <w:jc w:val="center"/>
        <w:tblInd w:w="0" w:type="dxa"/>
        <w:tblLayout w:type="fixed"/>
        <w:tblCellMar>
          <w:top w:w="0" w:type="dxa"/>
          <w:left w:w="0" w:type="dxa"/>
          <w:bottom w:w="0" w:type="dxa"/>
          <w:right w:w="0" w:type="dxa"/>
        </w:tblCellMar>
      </w:tblPr>
      <w:tblGrid>
        <w:gridCol w:w="435"/>
        <w:gridCol w:w="780"/>
        <w:gridCol w:w="1635"/>
        <w:gridCol w:w="675"/>
        <w:gridCol w:w="630"/>
        <w:gridCol w:w="630"/>
        <w:gridCol w:w="675"/>
        <w:gridCol w:w="795"/>
        <w:gridCol w:w="615"/>
        <w:gridCol w:w="600"/>
      </w:tblGrid>
      <w:tr>
        <w:tblPrEx>
          <w:tblLayout w:type="fixed"/>
          <w:tblCellMar>
            <w:top w:w="0" w:type="dxa"/>
            <w:left w:w="0" w:type="dxa"/>
            <w:bottom w:w="0" w:type="dxa"/>
            <w:right w:w="0" w:type="dxa"/>
          </w:tblCellMar>
        </w:tblPrEx>
        <w:trPr>
          <w:jc w:val="center"/>
        </w:trPr>
        <w:tc>
          <w:tcPr>
            <w:tcW w:w="2850" w:type="dxa"/>
            <w:gridSpan w:val="3"/>
            <w:vMerge w:val="restart"/>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（本列数据的勾稽关系为：第一项加第二项之和，等于第三项加第四项之和）</w:t>
            </w:r>
          </w:p>
        </w:tc>
        <w:tc>
          <w:tcPr>
            <w:tcW w:w="4620" w:type="dxa"/>
            <w:gridSpan w:val="7"/>
            <w:tcBorders>
              <w:top w:val="single" w:color="auto" w:sz="6" w:space="0"/>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申请人情况</w:t>
            </w:r>
          </w:p>
        </w:tc>
      </w:tr>
      <w:tr>
        <w:tblPrEx>
          <w:tblLayout w:type="fixed"/>
          <w:tblCellMar>
            <w:top w:w="0" w:type="dxa"/>
            <w:left w:w="0" w:type="dxa"/>
            <w:bottom w:w="0" w:type="dxa"/>
            <w:right w:w="0" w:type="dxa"/>
          </w:tblCellMar>
        </w:tblPrEx>
        <w:trPr>
          <w:jc w:val="center"/>
        </w:trPr>
        <w:tc>
          <w:tcPr>
            <w:tcW w:w="2850" w:type="dxa"/>
            <w:gridSpan w:val="3"/>
            <w:vMerge w:val="continue"/>
            <w:tcBorders>
              <w:top w:val="single" w:color="auto" w:sz="6" w:space="0"/>
              <w:left w:val="single" w:color="auto" w:sz="6" w:space="0"/>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675"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自然人</w:t>
            </w:r>
          </w:p>
        </w:tc>
        <w:tc>
          <w:tcPr>
            <w:tcW w:w="3345" w:type="dxa"/>
            <w:gridSpan w:val="5"/>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法人或其他组织</w:t>
            </w:r>
          </w:p>
        </w:tc>
        <w:tc>
          <w:tcPr>
            <w:tcW w:w="600"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总计</w:t>
            </w:r>
          </w:p>
        </w:tc>
      </w:tr>
      <w:tr>
        <w:tblPrEx>
          <w:tblLayout w:type="fixed"/>
          <w:tblCellMar>
            <w:top w:w="0" w:type="dxa"/>
            <w:left w:w="0" w:type="dxa"/>
            <w:bottom w:w="0" w:type="dxa"/>
            <w:right w:w="0" w:type="dxa"/>
          </w:tblCellMar>
        </w:tblPrEx>
        <w:trPr>
          <w:jc w:val="center"/>
        </w:trPr>
        <w:tc>
          <w:tcPr>
            <w:tcW w:w="2850" w:type="dxa"/>
            <w:gridSpan w:val="3"/>
            <w:vMerge w:val="continue"/>
            <w:tcBorders>
              <w:top w:val="single" w:color="auto" w:sz="6" w:space="0"/>
              <w:left w:val="single" w:color="auto" w:sz="6" w:space="0"/>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675" w:type="dxa"/>
            <w:vMerge w:val="continue"/>
            <w:tcBorders>
              <w:top w:val="nil"/>
              <w:left w:val="nil"/>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商业企业</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科研机构</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社会公益组织</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法律服务机构</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其他</w:t>
            </w:r>
          </w:p>
        </w:tc>
        <w:tc>
          <w:tcPr>
            <w:tcW w:w="600" w:type="dxa"/>
            <w:vMerge w:val="continue"/>
            <w:tcBorders>
              <w:top w:val="nil"/>
              <w:left w:val="nil"/>
              <w:bottom w:val="single" w:color="auto" w:sz="6" w:space="0"/>
              <w:right w:val="single" w:color="auto" w:sz="6" w:space="0"/>
            </w:tcBorders>
            <w:vAlign w:val="center"/>
          </w:tcPr>
          <w:p>
            <w:pPr>
              <w:widowControl/>
              <w:jc w:val="left"/>
              <w:rPr>
                <w:rFonts w:ascii="Arial" w:hAnsi="Arial" w:eastAsia="宋体" w:cs="Arial"/>
                <w:kern w:val="0"/>
                <w:sz w:val="24"/>
                <w:szCs w:val="24"/>
              </w:rPr>
            </w:pPr>
          </w:p>
        </w:tc>
      </w:tr>
      <w:tr>
        <w:tblPrEx>
          <w:tblLayout w:type="fixed"/>
          <w:tblCellMar>
            <w:top w:w="0" w:type="dxa"/>
            <w:left w:w="0" w:type="dxa"/>
            <w:bottom w:w="0" w:type="dxa"/>
            <w:right w:w="0" w:type="dxa"/>
          </w:tblCellMar>
        </w:tblPrEx>
        <w:trPr>
          <w:jc w:val="center"/>
        </w:trPr>
        <w:tc>
          <w:tcPr>
            <w:tcW w:w="2850" w:type="dxa"/>
            <w:gridSpan w:val="3"/>
            <w:tcBorders>
              <w:top w:val="nil"/>
              <w:left w:val="single" w:color="auto" w:sz="6" w:space="0"/>
              <w:bottom w:val="single" w:color="auto" w:sz="6" w:space="0"/>
              <w:right w:val="single" w:color="auto" w:sz="6" w:space="0"/>
            </w:tcBorders>
            <w:shd w:val="clear" w:color="auto" w:fill="auto"/>
            <w:vAlign w:val="center"/>
          </w:tcPr>
          <w:p>
            <w:pPr>
              <w:widowControl/>
              <w:spacing w:line="345" w:lineRule="atLeast"/>
              <w:jc w:val="left"/>
              <w:rPr>
                <w:rFonts w:ascii="Arial" w:hAnsi="Arial" w:eastAsia="宋体" w:cs="Arial"/>
                <w:kern w:val="0"/>
                <w:sz w:val="24"/>
                <w:szCs w:val="24"/>
              </w:rPr>
            </w:pPr>
            <w:r>
              <w:rPr>
                <w:rFonts w:hint="eastAsia" w:ascii="宋体" w:hAnsi="宋体" w:eastAsia="宋体" w:cs="Arial"/>
                <w:color w:val="3D3D3D"/>
                <w:kern w:val="0"/>
                <w:sz w:val="15"/>
                <w:szCs w:val="15"/>
              </w:rPr>
              <w:t>一、本年新收政府信息公开申请数量</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color w:val="3D3D3D"/>
                <w:kern w:val="0"/>
                <w:sz w:val="18"/>
                <w:szCs w:val="18"/>
                <w:lang w:val="en-US" w:eastAsia="zh-CN"/>
              </w:rPr>
              <w:t>1</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color w:val="3D3D3D"/>
                <w:kern w:val="0"/>
                <w:sz w:val="18"/>
                <w:szCs w:val="18"/>
                <w:lang w:val="en-US" w:eastAsia="zh-CN"/>
              </w:rPr>
              <w:t>1</w:t>
            </w:r>
          </w:p>
        </w:tc>
      </w:tr>
      <w:tr>
        <w:tblPrEx>
          <w:tblLayout w:type="fixed"/>
          <w:tblCellMar>
            <w:top w:w="0" w:type="dxa"/>
            <w:left w:w="0" w:type="dxa"/>
            <w:bottom w:w="0" w:type="dxa"/>
            <w:right w:w="0" w:type="dxa"/>
          </w:tblCellMar>
        </w:tblPrEx>
        <w:trPr>
          <w:jc w:val="center"/>
        </w:trPr>
        <w:tc>
          <w:tcPr>
            <w:tcW w:w="435" w:type="dxa"/>
            <w:vMerge w:val="restart"/>
            <w:tcBorders>
              <w:top w:val="nil"/>
              <w:left w:val="single" w:color="auto" w:sz="6" w:space="0"/>
              <w:bottom w:val="single" w:color="auto" w:sz="6" w:space="0"/>
              <w:right w:val="single" w:color="auto" w:sz="6" w:space="0"/>
            </w:tcBorders>
            <w:shd w:val="clear" w:color="auto" w:fill="auto"/>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三、本年度办理结果</w:t>
            </w:r>
          </w:p>
        </w:tc>
        <w:tc>
          <w:tcPr>
            <w:tcW w:w="2415" w:type="dxa"/>
            <w:gridSpan w:val="2"/>
            <w:tcBorders>
              <w:top w:val="nil"/>
              <w:left w:val="nil"/>
              <w:bottom w:val="single" w:color="auto" w:sz="6" w:space="0"/>
              <w:right w:val="single" w:color="auto" w:sz="6" w:space="0"/>
            </w:tcBorders>
            <w:shd w:val="clear" w:color="auto" w:fill="auto"/>
            <w:vAlign w:val="center"/>
          </w:tcPr>
          <w:p>
            <w:pPr>
              <w:widowControl/>
              <w:spacing w:line="345" w:lineRule="atLeast"/>
              <w:jc w:val="left"/>
              <w:rPr>
                <w:rFonts w:ascii="Arial" w:hAnsi="Arial" w:eastAsia="宋体" w:cs="Arial"/>
                <w:kern w:val="0"/>
                <w:sz w:val="24"/>
                <w:szCs w:val="24"/>
              </w:rPr>
            </w:pPr>
            <w:r>
              <w:rPr>
                <w:rFonts w:hint="eastAsia" w:ascii="宋体" w:hAnsi="宋体" w:eastAsia="宋体" w:cs="Arial"/>
                <w:color w:val="3D3D3D"/>
                <w:kern w:val="0"/>
                <w:sz w:val="15"/>
                <w:szCs w:val="15"/>
              </w:rPr>
              <w:t>（一）予以公开</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color w:val="3D3D3D"/>
                <w:kern w:val="0"/>
                <w:sz w:val="18"/>
                <w:szCs w:val="18"/>
                <w:lang w:val="en-US" w:eastAsia="zh-CN"/>
              </w:rPr>
              <w:t>1</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color w:val="3D3D3D"/>
                <w:kern w:val="0"/>
                <w:sz w:val="18"/>
                <w:szCs w:val="18"/>
                <w:lang w:val="en-US" w:eastAsia="zh-CN"/>
              </w:rPr>
              <w:t>1</w:t>
            </w:r>
          </w:p>
        </w:tc>
      </w:tr>
      <w:tr>
        <w:tblPrEx>
          <w:tblLayout w:type="fixed"/>
          <w:tblCellMar>
            <w:top w:w="0" w:type="dxa"/>
            <w:left w:w="0" w:type="dxa"/>
            <w:bottom w:w="0" w:type="dxa"/>
            <w:right w:w="0" w:type="dxa"/>
          </w:tblCellMar>
        </w:tblPrEx>
        <w:trPr>
          <w:jc w:val="center"/>
        </w:trPr>
        <w:tc>
          <w:tcPr>
            <w:tcW w:w="435" w:type="dxa"/>
            <w:vMerge w:val="continue"/>
            <w:tcBorders>
              <w:top w:val="nil"/>
              <w:left w:val="single" w:color="auto" w:sz="6" w:space="0"/>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2415" w:type="dxa"/>
            <w:gridSpan w:val="2"/>
            <w:tcBorders>
              <w:top w:val="nil"/>
              <w:left w:val="nil"/>
              <w:bottom w:val="single" w:color="auto" w:sz="6" w:space="0"/>
              <w:right w:val="single" w:color="auto" w:sz="6" w:space="0"/>
            </w:tcBorders>
            <w:shd w:val="clear" w:color="auto" w:fill="auto"/>
            <w:vAlign w:val="center"/>
          </w:tcPr>
          <w:p>
            <w:pPr>
              <w:widowControl/>
              <w:spacing w:line="345" w:lineRule="atLeast"/>
              <w:jc w:val="left"/>
              <w:rPr>
                <w:rFonts w:ascii="Arial" w:hAnsi="Arial" w:eastAsia="宋体" w:cs="Arial"/>
                <w:kern w:val="0"/>
                <w:sz w:val="24"/>
                <w:szCs w:val="24"/>
              </w:rPr>
            </w:pPr>
            <w:r>
              <w:rPr>
                <w:rFonts w:hint="eastAsia" w:ascii="宋体" w:hAnsi="宋体" w:eastAsia="宋体" w:cs="Arial"/>
                <w:color w:val="3D3D3D"/>
                <w:kern w:val="0"/>
                <w:sz w:val="15"/>
                <w:szCs w:val="15"/>
              </w:rPr>
              <w:t>（二）部分公开（区分处理的，只计这一情形，不计其他情形）</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jc w:val="center"/>
        </w:trPr>
        <w:tc>
          <w:tcPr>
            <w:tcW w:w="2850" w:type="dxa"/>
            <w:gridSpan w:val="3"/>
            <w:tcBorders>
              <w:top w:val="nil"/>
              <w:left w:val="single" w:color="auto" w:sz="6" w:space="0"/>
              <w:bottom w:val="single" w:color="auto" w:sz="6" w:space="0"/>
              <w:right w:val="single" w:color="auto" w:sz="6" w:space="0"/>
            </w:tcBorders>
            <w:shd w:val="clear" w:color="auto" w:fill="auto"/>
            <w:vAlign w:val="center"/>
          </w:tcPr>
          <w:p>
            <w:pPr>
              <w:widowControl/>
              <w:spacing w:line="345" w:lineRule="atLeast"/>
              <w:jc w:val="left"/>
              <w:rPr>
                <w:rFonts w:ascii="Arial" w:hAnsi="Arial" w:eastAsia="宋体" w:cs="Arial"/>
                <w:kern w:val="0"/>
                <w:sz w:val="24"/>
                <w:szCs w:val="24"/>
              </w:rPr>
            </w:pPr>
            <w:r>
              <w:rPr>
                <w:rFonts w:hint="eastAsia" w:ascii="宋体" w:hAnsi="宋体" w:eastAsia="宋体" w:cs="Arial"/>
                <w:color w:val="3D3D3D"/>
                <w:kern w:val="0"/>
                <w:sz w:val="15"/>
                <w:szCs w:val="15"/>
              </w:rPr>
              <w:t>二、上年结转政府信息公开申请数量</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color w:val="3D3D3D"/>
                <w:kern w:val="0"/>
                <w:sz w:val="18"/>
                <w:szCs w:val="18"/>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ind w:firstLine="90"/>
              <w:jc w:val="center"/>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color w:val="3D3D3D"/>
                <w:kern w:val="0"/>
                <w:sz w:val="18"/>
                <w:szCs w:val="18"/>
              </w:rPr>
              <w:t>0</w:t>
            </w:r>
          </w:p>
        </w:tc>
      </w:tr>
      <w:tr>
        <w:tblPrEx>
          <w:tblLayout w:type="fixed"/>
          <w:tblCellMar>
            <w:top w:w="0" w:type="dxa"/>
            <w:left w:w="0" w:type="dxa"/>
            <w:bottom w:w="0" w:type="dxa"/>
            <w:right w:w="0" w:type="dxa"/>
          </w:tblCellMar>
        </w:tblPrEx>
        <w:trPr>
          <w:jc w:val="center"/>
        </w:trPr>
        <w:tc>
          <w:tcPr>
            <w:tcW w:w="435" w:type="dxa"/>
            <w:vMerge w:val="restart"/>
            <w:tcBorders>
              <w:top w:val="nil"/>
              <w:left w:val="single" w:color="auto" w:sz="6" w:space="0"/>
              <w:bottom w:val="single" w:color="auto" w:sz="6" w:space="0"/>
              <w:right w:val="single" w:color="auto" w:sz="6" w:space="0"/>
            </w:tcBorders>
            <w:shd w:val="clear" w:color="auto" w:fill="auto"/>
            <w:vAlign w:val="center"/>
          </w:tcPr>
          <w:p>
            <w:pPr>
              <w:widowControl/>
              <w:jc w:val="left"/>
              <w:rPr>
                <w:rFonts w:ascii="Arial" w:hAnsi="Arial" w:eastAsia="宋体" w:cs="Arial"/>
                <w:kern w:val="0"/>
                <w:sz w:val="24"/>
                <w:szCs w:val="24"/>
              </w:rPr>
            </w:pPr>
          </w:p>
        </w:tc>
        <w:tc>
          <w:tcPr>
            <w:tcW w:w="780"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hint="eastAsia" w:ascii="宋体" w:hAnsi="宋体" w:eastAsia="宋体" w:cs="Arial"/>
                <w:color w:val="3D3D3D"/>
                <w:kern w:val="0"/>
                <w:sz w:val="15"/>
                <w:szCs w:val="15"/>
              </w:rPr>
              <w:t>（三）不予公开</w:t>
            </w:r>
          </w:p>
        </w:tc>
        <w:tc>
          <w:tcPr>
            <w:tcW w:w="1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ascii="Times New Roman" w:hAnsi="Times New Roman" w:eastAsia="宋体" w:cs="Times New Roman"/>
                <w:color w:val="3D3D3D"/>
                <w:kern w:val="0"/>
                <w:sz w:val="15"/>
                <w:szCs w:val="15"/>
              </w:rPr>
              <w:t>1.</w:t>
            </w:r>
            <w:r>
              <w:rPr>
                <w:rFonts w:hint="eastAsia" w:ascii="楷体" w:hAnsi="楷体" w:eastAsia="楷体" w:cs="Arial"/>
                <w:color w:val="3D3D3D"/>
                <w:kern w:val="0"/>
                <w:sz w:val="15"/>
                <w:szCs w:val="15"/>
              </w:rPr>
              <w:t>属于国家秘密</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jc w:val="center"/>
        </w:trPr>
        <w:tc>
          <w:tcPr>
            <w:tcW w:w="435" w:type="dxa"/>
            <w:vMerge w:val="continue"/>
            <w:tcBorders>
              <w:top w:val="nil"/>
              <w:left w:val="single" w:color="auto" w:sz="6" w:space="0"/>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780" w:type="dxa"/>
            <w:vMerge w:val="continue"/>
            <w:tcBorders>
              <w:top w:val="nil"/>
              <w:left w:val="nil"/>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1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ascii="Times New Roman" w:hAnsi="Times New Roman" w:eastAsia="宋体" w:cs="Times New Roman"/>
                <w:color w:val="3D3D3D"/>
                <w:kern w:val="0"/>
                <w:sz w:val="15"/>
                <w:szCs w:val="15"/>
              </w:rPr>
              <w:t>2.</w:t>
            </w:r>
            <w:r>
              <w:rPr>
                <w:rFonts w:hint="eastAsia" w:ascii="楷体" w:hAnsi="楷体" w:eastAsia="楷体" w:cs="Arial"/>
                <w:color w:val="3D3D3D"/>
                <w:kern w:val="0"/>
                <w:sz w:val="15"/>
                <w:szCs w:val="15"/>
              </w:rPr>
              <w:t>其他法律行政法规禁止公开</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jc w:val="center"/>
        </w:trPr>
        <w:tc>
          <w:tcPr>
            <w:tcW w:w="435" w:type="dxa"/>
            <w:vMerge w:val="continue"/>
            <w:tcBorders>
              <w:top w:val="nil"/>
              <w:left w:val="single" w:color="auto" w:sz="6" w:space="0"/>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780" w:type="dxa"/>
            <w:vMerge w:val="continue"/>
            <w:tcBorders>
              <w:top w:val="nil"/>
              <w:left w:val="nil"/>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1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ascii="Times New Roman" w:hAnsi="Times New Roman" w:eastAsia="宋体" w:cs="Times New Roman"/>
                <w:color w:val="3D3D3D"/>
                <w:kern w:val="0"/>
                <w:sz w:val="15"/>
                <w:szCs w:val="15"/>
              </w:rPr>
              <w:t>3.</w:t>
            </w:r>
            <w:r>
              <w:rPr>
                <w:rFonts w:hint="eastAsia" w:ascii="楷体" w:hAnsi="楷体" w:eastAsia="楷体" w:cs="Arial"/>
                <w:color w:val="3D3D3D"/>
                <w:kern w:val="0"/>
                <w:sz w:val="15"/>
                <w:szCs w:val="15"/>
              </w:rPr>
              <w:t>危及</w:t>
            </w:r>
            <w:r>
              <w:rPr>
                <w:rFonts w:ascii="Times New Roman" w:hAnsi="Times New Roman" w:eastAsia="宋体" w:cs="Times New Roman"/>
                <w:color w:val="3D3D3D"/>
                <w:kern w:val="0"/>
                <w:sz w:val="15"/>
                <w:szCs w:val="15"/>
              </w:rPr>
              <w:t>“</w:t>
            </w:r>
            <w:r>
              <w:rPr>
                <w:rFonts w:hint="eastAsia" w:ascii="楷体" w:hAnsi="楷体" w:eastAsia="楷体" w:cs="Arial"/>
                <w:color w:val="3D3D3D"/>
                <w:kern w:val="0"/>
                <w:sz w:val="15"/>
                <w:szCs w:val="15"/>
              </w:rPr>
              <w:t>三安全一稳定</w:t>
            </w:r>
            <w:r>
              <w:rPr>
                <w:rFonts w:ascii="Times New Roman" w:hAnsi="Times New Roman" w:eastAsia="宋体" w:cs="Times New Roman"/>
                <w:color w:val="3D3D3D"/>
                <w:kern w:val="0"/>
                <w:sz w:val="15"/>
                <w:szCs w:val="15"/>
              </w:rPr>
              <w:t>”</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jc w:val="center"/>
        </w:trPr>
        <w:tc>
          <w:tcPr>
            <w:tcW w:w="435" w:type="dxa"/>
            <w:vMerge w:val="continue"/>
            <w:tcBorders>
              <w:top w:val="nil"/>
              <w:left w:val="single" w:color="auto" w:sz="6" w:space="0"/>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780" w:type="dxa"/>
            <w:vMerge w:val="continue"/>
            <w:tcBorders>
              <w:top w:val="nil"/>
              <w:left w:val="nil"/>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1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ascii="Times New Roman" w:hAnsi="Times New Roman" w:eastAsia="宋体" w:cs="Times New Roman"/>
                <w:color w:val="3D3D3D"/>
                <w:kern w:val="0"/>
                <w:sz w:val="15"/>
                <w:szCs w:val="15"/>
              </w:rPr>
              <w:t>4.</w:t>
            </w:r>
            <w:r>
              <w:rPr>
                <w:rFonts w:hint="eastAsia" w:ascii="楷体" w:hAnsi="楷体" w:eastAsia="楷体" w:cs="Arial"/>
                <w:color w:val="3D3D3D"/>
                <w:kern w:val="0"/>
                <w:sz w:val="15"/>
                <w:szCs w:val="15"/>
              </w:rPr>
              <w:t>保护第三方合法权益</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jc w:val="center"/>
        </w:trPr>
        <w:tc>
          <w:tcPr>
            <w:tcW w:w="435" w:type="dxa"/>
            <w:vMerge w:val="continue"/>
            <w:tcBorders>
              <w:top w:val="nil"/>
              <w:left w:val="single" w:color="auto" w:sz="6" w:space="0"/>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780" w:type="dxa"/>
            <w:vMerge w:val="continue"/>
            <w:tcBorders>
              <w:top w:val="nil"/>
              <w:left w:val="nil"/>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1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ascii="Times New Roman" w:hAnsi="Times New Roman" w:eastAsia="宋体" w:cs="Times New Roman"/>
                <w:color w:val="3D3D3D"/>
                <w:kern w:val="0"/>
                <w:sz w:val="15"/>
                <w:szCs w:val="15"/>
              </w:rPr>
              <w:t>5.</w:t>
            </w:r>
            <w:r>
              <w:rPr>
                <w:rFonts w:hint="eastAsia" w:ascii="楷体" w:hAnsi="楷体" w:eastAsia="楷体" w:cs="Arial"/>
                <w:color w:val="3D3D3D"/>
                <w:kern w:val="0"/>
                <w:sz w:val="15"/>
                <w:szCs w:val="15"/>
              </w:rPr>
              <w:t>属于三类内部事务信息</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jc w:val="center"/>
        </w:trPr>
        <w:tc>
          <w:tcPr>
            <w:tcW w:w="435" w:type="dxa"/>
            <w:vMerge w:val="continue"/>
            <w:tcBorders>
              <w:top w:val="nil"/>
              <w:left w:val="single" w:color="auto" w:sz="6" w:space="0"/>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780" w:type="dxa"/>
            <w:vMerge w:val="continue"/>
            <w:tcBorders>
              <w:top w:val="nil"/>
              <w:left w:val="nil"/>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1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ascii="Times New Roman" w:hAnsi="Times New Roman" w:eastAsia="宋体" w:cs="Times New Roman"/>
                <w:color w:val="3D3D3D"/>
                <w:kern w:val="0"/>
                <w:sz w:val="15"/>
                <w:szCs w:val="15"/>
              </w:rPr>
              <w:t>6.</w:t>
            </w:r>
            <w:r>
              <w:rPr>
                <w:rFonts w:hint="eastAsia" w:ascii="楷体" w:hAnsi="楷体" w:eastAsia="楷体" w:cs="Arial"/>
                <w:color w:val="3D3D3D"/>
                <w:kern w:val="0"/>
                <w:sz w:val="15"/>
                <w:szCs w:val="15"/>
              </w:rPr>
              <w:t>属于四类过程性信息</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jc w:val="center"/>
        </w:trPr>
        <w:tc>
          <w:tcPr>
            <w:tcW w:w="435" w:type="dxa"/>
            <w:vMerge w:val="continue"/>
            <w:tcBorders>
              <w:top w:val="nil"/>
              <w:left w:val="single" w:color="auto" w:sz="6" w:space="0"/>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780" w:type="dxa"/>
            <w:vMerge w:val="continue"/>
            <w:tcBorders>
              <w:top w:val="nil"/>
              <w:left w:val="nil"/>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1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ascii="Times New Roman" w:hAnsi="Times New Roman" w:eastAsia="宋体" w:cs="Times New Roman"/>
                <w:color w:val="3D3D3D"/>
                <w:kern w:val="0"/>
                <w:sz w:val="15"/>
                <w:szCs w:val="15"/>
              </w:rPr>
              <w:t>7.</w:t>
            </w:r>
            <w:r>
              <w:rPr>
                <w:rFonts w:hint="eastAsia" w:ascii="楷体" w:hAnsi="楷体" w:eastAsia="楷体" w:cs="Arial"/>
                <w:color w:val="3D3D3D"/>
                <w:kern w:val="0"/>
                <w:sz w:val="15"/>
                <w:szCs w:val="15"/>
              </w:rPr>
              <w:t>属于行政执法案卷</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jc w:val="center"/>
        </w:trPr>
        <w:tc>
          <w:tcPr>
            <w:tcW w:w="435" w:type="dxa"/>
            <w:vMerge w:val="continue"/>
            <w:tcBorders>
              <w:top w:val="nil"/>
              <w:left w:val="single" w:color="auto" w:sz="6" w:space="0"/>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780" w:type="dxa"/>
            <w:vMerge w:val="continue"/>
            <w:tcBorders>
              <w:top w:val="nil"/>
              <w:left w:val="nil"/>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1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ascii="Times New Roman" w:hAnsi="Times New Roman" w:eastAsia="宋体" w:cs="Times New Roman"/>
                <w:color w:val="3D3D3D"/>
                <w:kern w:val="0"/>
                <w:sz w:val="15"/>
                <w:szCs w:val="15"/>
              </w:rPr>
              <w:t>8.</w:t>
            </w:r>
            <w:r>
              <w:rPr>
                <w:rFonts w:hint="eastAsia" w:ascii="楷体" w:hAnsi="楷体" w:eastAsia="楷体" w:cs="Arial"/>
                <w:color w:val="3D3D3D"/>
                <w:kern w:val="0"/>
                <w:sz w:val="15"/>
                <w:szCs w:val="15"/>
              </w:rPr>
              <w:t>属于行政查询事项</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jc w:val="center"/>
        </w:trPr>
        <w:tc>
          <w:tcPr>
            <w:tcW w:w="435" w:type="dxa"/>
            <w:vMerge w:val="continue"/>
            <w:tcBorders>
              <w:top w:val="nil"/>
              <w:left w:val="single" w:color="auto" w:sz="6" w:space="0"/>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780"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hint="eastAsia" w:ascii="宋体" w:hAnsi="宋体" w:eastAsia="宋体" w:cs="Arial"/>
                <w:color w:val="3D3D3D"/>
                <w:kern w:val="0"/>
                <w:sz w:val="15"/>
                <w:szCs w:val="15"/>
              </w:rPr>
              <w:t>（四）无法提供</w:t>
            </w:r>
          </w:p>
        </w:tc>
        <w:tc>
          <w:tcPr>
            <w:tcW w:w="1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ascii="Times New Roman" w:hAnsi="Times New Roman" w:eastAsia="宋体" w:cs="Times New Roman"/>
                <w:color w:val="3D3D3D"/>
                <w:kern w:val="0"/>
                <w:sz w:val="15"/>
                <w:szCs w:val="15"/>
              </w:rPr>
              <w:t>1.</w:t>
            </w:r>
            <w:r>
              <w:rPr>
                <w:rFonts w:hint="eastAsia" w:ascii="楷体" w:hAnsi="楷体" w:eastAsia="楷体" w:cs="Arial"/>
                <w:color w:val="3D3D3D"/>
                <w:kern w:val="0"/>
                <w:sz w:val="15"/>
                <w:szCs w:val="15"/>
              </w:rPr>
              <w:t>本机关不掌握相关政府信息</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jc w:val="center"/>
        </w:trPr>
        <w:tc>
          <w:tcPr>
            <w:tcW w:w="435" w:type="dxa"/>
            <w:vMerge w:val="continue"/>
            <w:tcBorders>
              <w:top w:val="nil"/>
              <w:left w:val="single" w:color="auto" w:sz="6" w:space="0"/>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780" w:type="dxa"/>
            <w:vMerge w:val="continue"/>
            <w:tcBorders>
              <w:top w:val="nil"/>
              <w:left w:val="nil"/>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1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ascii="Times New Roman" w:hAnsi="Times New Roman" w:eastAsia="宋体" w:cs="Times New Roman"/>
                <w:color w:val="3D3D3D"/>
                <w:kern w:val="0"/>
                <w:sz w:val="15"/>
                <w:szCs w:val="15"/>
              </w:rPr>
              <w:t>2.</w:t>
            </w:r>
            <w:r>
              <w:rPr>
                <w:rFonts w:hint="eastAsia" w:ascii="楷体" w:hAnsi="楷体" w:eastAsia="楷体" w:cs="Arial"/>
                <w:color w:val="3D3D3D"/>
                <w:kern w:val="0"/>
                <w:sz w:val="15"/>
                <w:szCs w:val="15"/>
              </w:rPr>
              <w:t>没有现成信息需要另行制作</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jc w:val="center"/>
        </w:trPr>
        <w:tc>
          <w:tcPr>
            <w:tcW w:w="435" w:type="dxa"/>
            <w:vMerge w:val="continue"/>
            <w:tcBorders>
              <w:top w:val="nil"/>
              <w:left w:val="single" w:color="auto" w:sz="6" w:space="0"/>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780" w:type="dxa"/>
            <w:vMerge w:val="continue"/>
            <w:tcBorders>
              <w:top w:val="nil"/>
              <w:left w:val="nil"/>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1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ascii="Times New Roman" w:hAnsi="Times New Roman" w:eastAsia="宋体" w:cs="Times New Roman"/>
                <w:color w:val="3D3D3D"/>
                <w:kern w:val="0"/>
                <w:sz w:val="15"/>
                <w:szCs w:val="15"/>
              </w:rPr>
              <w:t>3.</w:t>
            </w:r>
            <w:r>
              <w:rPr>
                <w:rFonts w:hint="eastAsia" w:ascii="楷体" w:hAnsi="楷体" w:eastAsia="楷体" w:cs="Arial"/>
                <w:color w:val="3D3D3D"/>
                <w:kern w:val="0"/>
                <w:sz w:val="15"/>
                <w:szCs w:val="15"/>
              </w:rPr>
              <w:t>补正后申请内容仍不明确</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jc w:val="center"/>
        </w:trPr>
        <w:tc>
          <w:tcPr>
            <w:tcW w:w="435" w:type="dxa"/>
            <w:vMerge w:val="continue"/>
            <w:tcBorders>
              <w:top w:val="nil"/>
              <w:left w:val="single" w:color="auto" w:sz="6" w:space="0"/>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780"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hint="eastAsia" w:ascii="宋体" w:hAnsi="宋体" w:eastAsia="宋体" w:cs="Arial"/>
                <w:color w:val="3D3D3D"/>
                <w:kern w:val="0"/>
                <w:sz w:val="15"/>
                <w:szCs w:val="15"/>
              </w:rPr>
              <w:t>（五）不予处理</w:t>
            </w:r>
          </w:p>
        </w:tc>
        <w:tc>
          <w:tcPr>
            <w:tcW w:w="1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ascii="Times New Roman" w:hAnsi="Times New Roman" w:eastAsia="宋体" w:cs="Times New Roman"/>
                <w:color w:val="3D3D3D"/>
                <w:kern w:val="0"/>
                <w:sz w:val="15"/>
                <w:szCs w:val="15"/>
              </w:rPr>
              <w:t>1.</w:t>
            </w:r>
            <w:r>
              <w:rPr>
                <w:rFonts w:hint="eastAsia" w:ascii="楷体" w:hAnsi="楷体" w:eastAsia="楷体" w:cs="Arial"/>
                <w:color w:val="3D3D3D"/>
                <w:kern w:val="0"/>
                <w:sz w:val="15"/>
                <w:szCs w:val="15"/>
              </w:rPr>
              <w:t>信访举报投诉类申请</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jc w:val="center"/>
        </w:trPr>
        <w:tc>
          <w:tcPr>
            <w:tcW w:w="435" w:type="dxa"/>
            <w:vMerge w:val="continue"/>
            <w:tcBorders>
              <w:top w:val="nil"/>
              <w:left w:val="single" w:color="auto" w:sz="6" w:space="0"/>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780" w:type="dxa"/>
            <w:vMerge w:val="continue"/>
            <w:tcBorders>
              <w:top w:val="nil"/>
              <w:left w:val="nil"/>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1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ascii="Times New Roman" w:hAnsi="Times New Roman" w:eastAsia="宋体" w:cs="Times New Roman"/>
                <w:color w:val="3D3D3D"/>
                <w:kern w:val="0"/>
                <w:sz w:val="15"/>
                <w:szCs w:val="15"/>
              </w:rPr>
              <w:t>2.</w:t>
            </w:r>
            <w:r>
              <w:rPr>
                <w:rFonts w:hint="eastAsia" w:ascii="楷体" w:hAnsi="楷体" w:eastAsia="楷体" w:cs="Arial"/>
                <w:color w:val="3D3D3D"/>
                <w:kern w:val="0"/>
                <w:sz w:val="15"/>
                <w:szCs w:val="15"/>
              </w:rPr>
              <w:t>重复申请</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jc w:val="center"/>
        </w:trPr>
        <w:tc>
          <w:tcPr>
            <w:tcW w:w="435" w:type="dxa"/>
            <w:vMerge w:val="continue"/>
            <w:tcBorders>
              <w:top w:val="nil"/>
              <w:left w:val="single" w:color="auto" w:sz="6" w:space="0"/>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780" w:type="dxa"/>
            <w:vMerge w:val="continue"/>
            <w:tcBorders>
              <w:top w:val="nil"/>
              <w:left w:val="nil"/>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1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ascii="Times New Roman" w:hAnsi="Times New Roman" w:eastAsia="宋体" w:cs="Times New Roman"/>
                <w:color w:val="3D3D3D"/>
                <w:kern w:val="0"/>
                <w:sz w:val="15"/>
                <w:szCs w:val="15"/>
              </w:rPr>
              <w:t>3.</w:t>
            </w:r>
            <w:r>
              <w:rPr>
                <w:rFonts w:hint="eastAsia" w:ascii="楷体" w:hAnsi="楷体" w:eastAsia="楷体" w:cs="Arial"/>
                <w:color w:val="3D3D3D"/>
                <w:kern w:val="0"/>
                <w:sz w:val="15"/>
                <w:szCs w:val="15"/>
              </w:rPr>
              <w:t>要求提供公开出版物</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jc w:val="center"/>
        </w:trPr>
        <w:tc>
          <w:tcPr>
            <w:tcW w:w="435" w:type="dxa"/>
            <w:vMerge w:val="continue"/>
            <w:tcBorders>
              <w:top w:val="nil"/>
              <w:left w:val="single" w:color="auto" w:sz="6" w:space="0"/>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780" w:type="dxa"/>
            <w:vMerge w:val="continue"/>
            <w:tcBorders>
              <w:top w:val="nil"/>
              <w:left w:val="nil"/>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1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ascii="Times New Roman" w:hAnsi="Times New Roman" w:eastAsia="宋体" w:cs="Times New Roman"/>
                <w:color w:val="3D3D3D"/>
                <w:kern w:val="0"/>
                <w:sz w:val="15"/>
                <w:szCs w:val="15"/>
              </w:rPr>
              <w:t>4.</w:t>
            </w:r>
            <w:r>
              <w:rPr>
                <w:rFonts w:hint="eastAsia" w:ascii="楷体" w:hAnsi="楷体" w:eastAsia="楷体" w:cs="Arial"/>
                <w:color w:val="3D3D3D"/>
                <w:kern w:val="0"/>
                <w:sz w:val="15"/>
                <w:szCs w:val="15"/>
              </w:rPr>
              <w:t>无正当理由大量反复申请</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jc w:val="center"/>
        </w:trPr>
        <w:tc>
          <w:tcPr>
            <w:tcW w:w="435" w:type="dxa"/>
            <w:vMerge w:val="continue"/>
            <w:tcBorders>
              <w:top w:val="nil"/>
              <w:left w:val="single" w:color="auto" w:sz="6" w:space="0"/>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780" w:type="dxa"/>
            <w:vMerge w:val="continue"/>
            <w:tcBorders>
              <w:top w:val="nil"/>
              <w:left w:val="nil"/>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1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left"/>
              <w:rPr>
                <w:rFonts w:ascii="Arial" w:hAnsi="Arial" w:eastAsia="宋体" w:cs="Arial"/>
                <w:kern w:val="0"/>
                <w:sz w:val="24"/>
                <w:szCs w:val="24"/>
              </w:rPr>
            </w:pPr>
            <w:r>
              <w:rPr>
                <w:rFonts w:ascii="Times New Roman" w:hAnsi="Times New Roman" w:eastAsia="宋体" w:cs="Times New Roman"/>
                <w:color w:val="3D3D3D"/>
                <w:kern w:val="0"/>
                <w:sz w:val="15"/>
                <w:szCs w:val="15"/>
              </w:rPr>
              <w:t>5.</w:t>
            </w:r>
            <w:r>
              <w:rPr>
                <w:rFonts w:hint="eastAsia" w:ascii="楷体" w:hAnsi="楷体" w:eastAsia="楷体" w:cs="Arial"/>
                <w:color w:val="3D3D3D"/>
                <w:kern w:val="0"/>
                <w:sz w:val="15"/>
                <w:szCs w:val="15"/>
              </w:rPr>
              <w:t>要求行政机关确认或重新出具已获取信息</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jc w:val="center"/>
        </w:trPr>
        <w:tc>
          <w:tcPr>
            <w:tcW w:w="435" w:type="dxa"/>
            <w:vMerge w:val="continue"/>
            <w:tcBorders>
              <w:top w:val="nil"/>
              <w:left w:val="single" w:color="auto" w:sz="6" w:space="0"/>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2415" w:type="dxa"/>
            <w:gridSpan w:val="2"/>
            <w:tcBorders>
              <w:top w:val="nil"/>
              <w:left w:val="nil"/>
              <w:bottom w:val="single" w:color="auto" w:sz="6" w:space="0"/>
              <w:right w:val="single" w:color="auto" w:sz="6" w:space="0"/>
            </w:tcBorders>
            <w:shd w:val="clear" w:color="auto" w:fill="auto"/>
            <w:vAlign w:val="center"/>
          </w:tcPr>
          <w:p>
            <w:pPr>
              <w:widowControl/>
              <w:spacing w:line="345" w:lineRule="atLeast"/>
              <w:jc w:val="left"/>
              <w:rPr>
                <w:rFonts w:ascii="Arial" w:hAnsi="Arial" w:eastAsia="宋体" w:cs="Arial"/>
                <w:kern w:val="0"/>
                <w:sz w:val="24"/>
                <w:szCs w:val="24"/>
              </w:rPr>
            </w:pPr>
            <w:r>
              <w:rPr>
                <w:rFonts w:hint="eastAsia" w:ascii="宋体" w:hAnsi="宋体" w:eastAsia="宋体" w:cs="Arial"/>
                <w:color w:val="3D3D3D"/>
                <w:kern w:val="0"/>
                <w:sz w:val="15"/>
                <w:szCs w:val="15"/>
              </w:rPr>
              <w:t>（六）其他处理</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r>
        <w:tblPrEx>
          <w:tblLayout w:type="fixed"/>
          <w:tblCellMar>
            <w:top w:w="0" w:type="dxa"/>
            <w:left w:w="0" w:type="dxa"/>
            <w:bottom w:w="0" w:type="dxa"/>
            <w:right w:w="0" w:type="dxa"/>
          </w:tblCellMar>
        </w:tblPrEx>
        <w:trPr>
          <w:jc w:val="center"/>
        </w:trPr>
        <w:tc>
          <w:tcPr>
            <w:tcW w:w="435" w:type="dxa"/>
            <w:vMerge w:val="continue"/>
            <w:tcBorders>
              <w:top w:val="nil"/>
              <w:left w:val="single" w:color="auto" w:sz="6" w:space="0"/>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2415" w:type="dxa"/>
            <w:gridSpan w:val="2"/>
            <w:tcBorders>
              <w:top w:val="nil"/>
              <w:left w:val="nil"/>
              <w:bottom w:val="single" w:color="auto" w:sz="6" w:space="0"/>
              <w:right w:val="single" w:color="auto" w:sz="6" w:space="0"/>
            </w:tcBorders>
            <w:shd w:val="clear" w:color="auto" w:fill="auto"/>
            <w:vAlign w:val="center"/>
          </w:tcPr>
          <w:p>
            <w:pPr>
              <w:widowControl/>
              <w:spacing w:line="345" w:lineRule="atLeast"/>
              <w:jc w:val="left"/>
              <w:rPr>
                <w:rFonts w:ascii="Arial" w:hAnsi="Arial" w:eastAsia="宋体" w:cs="Arial"/>
                <w:kern w:val="0"/>
                <w:sz w:val="24"/>
                <w:szCs w:val="24"/>
              </w:rPr>
            </w:pPr>
            <w:r>
              <w:rPr>
                <w:rFonts w:hint="eastAsia" w:ascii="宋体" w:hAnsi="宋体" w:eastAsia="宋体" w:cs="Arial"/>
                <w:color w:val="3D3D3D"/>
                <w:kern w:val="0"/>
                <w:sz w:val="15"/>
                <w:szCs w:val="15"/>
              </w:rPr>
              <w:t>（七）总计</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1</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cstheme="minorEastAsia"/>
                <w:kern w:val="0"/>
                <w:sz w:val="18"/>
                <w:szCs w:val="18"/>
                <w:lang w:val="en-US" w:eastAsia="zh-CN"/>
              </w:rPr>
              <w:t>1</w:t>
            </w:r>
          </w:p>
        </w:tc>
      </w:tr>
      <w:tr>
        <w:tblPrEx>
          <w:tblLayout w:type="fixed"/>
          <w:tblCellMar>
            <w:top w:w="0" w:type="dxa"/>
            <w:left w:w="0" w:type="dxa"/>
            <w:bottom w:w="0" w:type="dxa"/>
            <w:right w:w="0" w:type="dxa"/>
          </w:tblCellMar>
        </w:tblPrEx>
        <w:trPr>
          <w:jc w:val="center"/>
        </w:trPr>
        <w:tc>
          <w:tcPr>
            <w:tcW w:w="2850" w:type="dxa"/>
            <w:gridSpan w:val="3"/>
            <w:tcBorders>
              <w:top w:val="nil"/>
              <w:left w:val="single" w:color="auto" w:sz="6" w:space="0"/>
              <w:bottom w:val="single" w:color="auto" w:sz="6" w:space="0"/>
              <w:right w:val="single" w:color="auto" w:sz="6" w:space="0"/>
            </w:tcBorders>
            <w:shd w:val="clear" w:color="auto" w:fill="auto"/>
            <w:vAlign w:val="center"/>
          </w:tcPr>
          <w:p>
            <w:pPr>
              <w:widowControl/>
              <w:spacing w:line="345" w:lineRule="atLeast"/>
              <w:jc w:val="left"/>
              <w:rPr>
                <w:rFonts w:ascii="Arial" w:hAnsi="Arial" w:eastAsia="宋体" w:cs="Arial"/>
                <w:kern w:val="0"/>
                <w:sz w:val="24"/>
                <w:szCs w:val="24"/>
              </w:rPr>
            </w:pPr>
            <w:r>
              <w:rPr>
                <w:rFonts w:hint="eastAsia" w:ascii="宋体" w:hAnsi="宋体" w:eastAsia="宋体" w:cs="Arial"/>
                <w:color w:val="3D3D3D"/>
                <w:kern w:val="0"/>
                <w:sz w:val="15"/>
                <w:szCs w:val="15"/>
              </w:rPr>
              <w:t>四、结转下年度继续办理</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color w:val="3D3D3D"/>
                <w:kern w:val="0"/>
                <w:sz w:val="18"/>
                <w:szCs w:val="18"/>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79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r>
    </w:tbl>
    <w:p>
      <w:pPr>
        <w:widowControl/>
        <w:shd w:val="clear" w:color="auto" w:fill="FFFFFF"/>
        <w:spacing w:line="555" w:lineRule="atLeast"/>
        <w:ind w:firstLine="555"/>
        <w:jc w:val="left"/>
        <w:rPr>
          <w:rFonts w:ascii="Arial" w:hAnsi="Arial" w:eastAsia="宋体" w:cs="Arial"/>
          <w:kern w:val="0"/>
          <w:sz w:val="24"/>
          <w:szCs w:val="24"/>
        </w:rPr>
      </w:pPr>
      <w:r>
        <w:rPr>
          <w:rFonts w:hint="eastAsia" w:ascii="宋体" w:hAnsi="宋体" w:eastAsia="宋体" w:cs="宋体"/>
          <w:color w:val="333333"/>
          <w:kern w:val="0"/>
          <w:sz w:val="29"/>
          <w:szCs w:val="29"/>
        </w:rPr>
        <w:t> </w:t>
      </w:r>
    </w:p>
    <w:p>
      <w:pPr>
        <w:widowControl/>
        <w:shd w:val="clear" w:color="auto" w:fill="FFFFFF"/>
        <w:spacing w:line="555" w:lineRule="atLeast"/>
        <w:ind w:firstLine="645"/>
        <w:jc w:val="left"/>
        <w:rPr>
          <w:rFonts w:ascii="Arial" w:hAnsi="Arial" w:eastAsia="宋体" w:cs="Arial"/>
          <w:kern w:val="0"/>
          <w:sz w:val="24"/>
          <w:szCs w:val="24"/>
        </w:rPr>
      </w:pPr>
      <w:r>
        <w:rPr>
          <w:rFonts w:hint="eastAsia" w:ascii="黑体" w:hAnsi="黑体" w:eastAsia="黑体" w:cs="Arial"/>
          <w:color w:val="333333"/>
          <w:kern w:val="0"/>
          <w:sz w:val="32"/>
          <w:szCs w:val="32"/>
        </w:rPr>
        <w:t>四、政府信息公开行政复议、行政诉讼情况</w:t>
      </w:r>
      <w:r>
        <w:rPr>
          <w:rFonts w:ascii="Times New Roman" w:hAnsi="Times New Roman" w:eastAsia="宋体" w:cs="Times New Roman"/>
          <w:color w:val="333333"/>
          <w:kern w:val="0"/>
          <w:sz w:val="32"/>
          <w:szCs w:val="32"/>
        </w:rPr>
        <w:t> </w:t>
      </w:r>
    </w:p>
    <w:p>
      <w:pPr>
        <w:widowControl/>
        <w:shd w:val="clear" w:color="auto" w:fill="FFFFFF"/>
        <w:spacing w:line="555" w:lineRule="atLeast"/>
        <w:ind w:firstLine="555"/>
        <w:jc w:val="left"/>
        <w:rPr>
          <w:rFonts w:ascii="Arial" w:hAnsi="Arial" w:eastAsia="宋体" w:cs="Arial"/>
          <w:kern w:val="0"/>
          <w:sz w:val="24"/>
          <w:szCs w:val="24"/>
        </w:rPr>
      </w:pPr>
      <w:r>
        <w:rPr>
          <w:rFonts w:ascii="Times New Roman" w:hAnsi="Times New Roman" w:eastAsia="宋体" w:cs="Times New Roman"/>
          <w:color w:val="333333"/>
          <w:kern w:val="0"/>
          <w:sz w:val="29"/>
          <w:szCs w:val="29"/>
        </w:rPr>
        <w:t> </w:t>
      </w:r>
    </w:p>
    <w:tbl>
      <w:tblPr>
        <w:tblStyle w:val="6"/>
        <w:tblW w:w="8456" w:type="dxa"/>
        <w:jc w:val="center"/>
        <w:tblInd w:w="0" w:type="dxa"/>
        <w:tblLayout w:type="fixed"/>
        <w:tblCellMar>
          <w:top w:w="0" w:type="dxa"/>
          <w:left w:w="0" w:type="dxa"/>
          <w:bottom w:w="0" w:type="dxa"/>
          <w:right w:w="0" w:type="dxa"/>
        </w:tblCellMar>
      </w:tblPr>
      <w:tblGrid>
        <w:gridCol w:w="559"/>
        <w:gridCol w:w="559"/>
        <w:gridCol w:w="559"/>
        <w:gridCol w:w="559"/>
        <w:gridCol w:w="624"/>
        <w:gridCol w:w="520"/>
        <w:gridCol w:w="559"/>
        <w:gridCol w:w="559"/>
        <w:gridCol w:w="559"/>
        <w:gridCol w:w="572"/>
        <w:gridCol w:w="559"/>
        <w:gridCol w:w="559"/>
        <w:gridCol w:w="559"/>
        <w:gridCol w:w="560"/>
        <w:gridCol w:w="590"/>
      </w:tblGrid>
      <w:tr>
        <w:tblPrEx>
          <w:tblLayout w:type="fixed"/>
          <w:tblCellMar>
            <w:top w:w="0" w:type="dxa"/>
            <w:left w:w="0" w:type="dxa"/>
            <w:bottom w:w="0" w:type="dxa"/>
            <w:right w:w="0" w:type="dxa"/>
          </w:tblCellMar>
        </w:tblPrEx>
        <w:trPr>
          <w:jc w:val="center"/>
        </w:trPr>
        <w:tc>
          <w:tcPr>
            <w:tcW w:w="2860" w:type="dxa"/>
            <w:gridSpan w:val="5"/>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行政复议</w:t>
            </w:r>
          </w:p>
        </w:tc>
        <w:tc>
          <w:tcPr>
            <w:tcW w:w="5596" w:type="dxa"/>
            <w:gridSpan w:val="10"/>
            <w:tcBorders>
              <w:top w:val="single" w:color="auto" w:sz="6" w:space="0"/>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行政诉讼</w:t>
            </w:r>
          </w:p>
        </w:tc>
      </w:tr>
      <w:tr>
        <w:tblPrEx>
          <w:tblLayout w:type="fixed"/>
          <w:tblCellMar>
            <w:top w:w="0" w:type="dxa"/>
            <w:left w:w="0" w:type="dxa"/>
            <w:bottom w:w="0" w:type="dxa"/>
            <w:right w:w="0" w:type="dxa"/>
          </w:tblCellMar>
        </w:tblPrEx>
        <w:trPr>
          <w:jc w:val="center"/>
        </w:trPr>
        <w:tc>
          <w:tcPr>
            <w:tcW w:w="559" w:type="dxa"/>
            <w:vMerge w:val="restart"/>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结果维持</w:t>
            </w:r>
          </w:p>
        </w:tc>
        <w:tc>
          <w:tcPr>
            <w:tcW w:w="559"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结果纠正</w:t>
            </w:r>
          </w:p>
        </w:tc>
        <w:tc>
          <w:tcPr>
            <w:tcW w:w="559"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其他结果</w:t>
            </w:r>
          </w:p>
        </w:tc>
        <w:tc>
          <w:tcPr>
            <w:tcW w:w="559"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尚未审结</w:t>
            </w:r>
          </w:p>
        </w:tc>
        <w:tc>
          <w:tcPr>
            <w:tcW w:w="624"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总计</w:t>
            </w:r>
          </w:p>
        </w:tc>
        <w:tc>
          <w:tcPr>
            <w:tcW w:w="2769" w:type="dxa"/>
            <w:gridSpan w:val="5"/>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未经复议直接起诉</w:t>
            </w:r>
          </w:p>
        </w:tc>
        <w:tc>
          <w:tcPr>
            <w:tcW w:w="2827" w:type="dxa"/>
            <w:gridSpan w:val="5"/>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复议后起诉</w:t>
            </w:r>
          </w:p>
        </w:tc>
      </w:tr>
      <w:tr>
        <w:tblPrEx>
          <w:tblLayout w:type="fixed"/>
          <w:tblCellMar>
            <w:top w:w="0" w:type="dxa"/>
            <w:left w:w="0" w:type="dxa"/>
            <w:bottom w:w="0" w:type="dxa"/>
            <w:right w:w="0" w:type="dxa"/>
          </w:tblCellMar>
        </w:tblPrEx>
        <w:trPr>
          <w:jc w:val="center"/>
        </w:trPr>
        <w:tc>
          <w:tcPr>
            <w:tcW w:w="559" w:type="dxa"/>
            <w:vMerge w:val="continue"/>
            <w:tcBorders>
              <w:top w:val="nil"/>
              <w:left w:val="single" w:color="auto" w:sz="6" w:space="0"/>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559" w:type="dxa"/>
            <w:vMerge w:val="continue"/>
            <w:tcBorders>
              <w:top w:val="nil"/>
              <w:left w:val="nil"/>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559" w:type="dxa"/>
            <w:vMerge w:val="continue"/>
            <w:tcBorders>
              <w:top w:val="nil"/>
              <w:left w:val="nil"/>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559" w:type="dxa"/>
            <w:vMerge w:val="continue"/>
            <w:tcBorders>
              <w:top w:val="nil"/>
              <w:left w:val="nil"/>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624" w:type="dxa"/>
            <w:vMerge w:val="continue"/>
            <w:tcBorders>
              <w:top w:val="nil"/>
              <w:left w:val="nil"/>
              <w:bottom w:val="single" w:color="auto" w:sz="6" w:space="0"/>
              <w:right w:val="single" w:color="auto" w:sz="6" w:space="0"/>
            </w:tcBorders>
            <w:vAlign w:val="center"/>
          </w:tcPr>
          <w:p>
            <w:pPr>
              <w:widowControl/>
              <w:jc w:val="left"/>
              <w:rPr>
                <w:rFonts w:ascii="Arial" w:hAnsi="Arial" w:eastAsia="宋体" w:cs="Arial"/>
                <w:kern w:val="0"/>
                <w:sz w:val="24"/>
                <w:szCs w:val="24"/>
              </w:rPr>
            </w:pPr>
          </w:p>
        </w:tc>
        <w:tc>
          <w:tcPr>
            <w:tcW w:w="52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结果维持</w:t>
            </w:r>
          </w:p>
        </w:tc>
        <w:tc>
          <w:tcPr>
            <w:tcW w:w="55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结果纠正</w:t>
            </w:r>
          </w:p>
        </w:tc>
        <w:tc>
          <w:tcPr>
            <w:tcW w:w="55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其他结果</w:t>
            </w:r>
          </w:p>
        </w:tc>
        <w:tc>
          <w:tcPr>
            <w:tcW w:w="55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尚未审结</w:t>
            </w:r>
          </w:p>
        </w:tc>
        <w:tc>
          <w:tcPr>
            <w:tcW w:w="57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总计</w:t>
            </w:r>
          </w:p>
        </w:tc>
        <w:tc>
          <w:tcPr>
            <w:tcW w:w="55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结果维持</w:t>
            </w:r>
          </w:p>
        </w:tc>
        <w:tc>
          <w:tcPr>
            <w:tcW w:w="55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结果纠正</w:t>
            </w:r>
          </w:p>
        </w:tc>
        <w:tc>
          <w:tcPr>
            <w:tcW w:w="55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其他结果</w:t>
            </w:r>
          </w:p>
        </w:tc>
        <w:tc>
          <w:tcPr>
            <w:tcW w:w="56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3D3D3D"/>
                <w:kern w:val="0"/>
                <w:sz w:val="15"/>
                <w:szCs w:val="15"/>
              </w:rPr>
              <w:t>尚未审结</w:t>
            </w:r>
          </w:p>
        </w:tc>
        <w:tc>
          <w:tcPr>
            <w:tcW w:w="5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ascii="Arial" w:hAnsi="Arial" w:eastAsia="宋体" w:cs="Arial"/>
                <w:kern w:val="0"/>
                <w:sz w:val="24"/>
                <w:szCs w:val="24"/>
              </w:rPr>
            </w:pPr>
            <w:r>
              <w:rPr>
                <w:rFonts w:hint="eastAsia" w:ascii="宋体" w:hAnsi="宋体" w:eastAsia="宋体" w:cs="Arial"/>
                <w:color w:val="000000"/>
                <w:kern w:val="0"/>
                <w:sz w:val="15"/>
                <w:szCs w:val="15"/>
              </w:rPr>
              <w:t>总计</w:t>
            </w:r>
          </w:p>
        </w:tc>
      </w:tr>
      <w:tr>
        <w:tblPrEx>
          <w:tblLayout w:type="fixed"/>
        </w:tblPrEx>
        <w:trPr>
          <w:jc w:val="center"/>
        </w:trPr>
        <w:tc>
          <w:tcPr>
            <w:tcW w:w="559"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55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55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55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62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hint="eastAsia" w:asciiTheme="minorEastAsia" w:hAnsiTheme="minorEastAsia" w:eastAsiaTheme="minorEastAsia" w:cstheme="minorEastAsia"/>
                <w:kern w:val="0"/>
                <w:sz w:val="18"/>
                <w:szCs w:val="18"/>
                <w:lang w:eastAsia="zh-CN"/>
              </w:rPr>
            </w:pPr>
            <w:r>
              <w:rPr>
                <w:rFonts w:hint="eastAsia" w:asciiTheme="minorEastAsia" w:hAnsiTheme="minorEastAsia" w:cstheme="minorEastAsia"/>
                <w:color w:val="3D3D3D"/>
                <w:kern w:val="0"/>
                <w:sz w:val="18"/>
                <w:szCs w:val="18"/>
                <w:lang w:val="en-US" w:eastAsia="zh-CN"/>
              </w:rPr>
              <w:t>0</w:t>
            </w:r>
          </w:p>
        </w:tc>
        <w:tc>
          <w:tcPr>
            <w:tcW w:w="52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55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55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55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57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55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55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55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56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jc w:val="center"/>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0</w:t>
            </w:r>
          </w:p>
        </w:tc>
        <w:tc>
          <w:tcPr>
            <w:tcW w:w="5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widowControl/>
              <w:spacing w:line="345" w:lineRule="atLeast"/>
              <w:jc w:val="center"/>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color w:val="3D3D3D"/>
                <w:kern w:val="0"/>
                <w:sz w:val="18"/>
                <w:szCs w:val="18"/>
                <w:lang w:val="en-US" w:eastAsia="zh-CN"/>
              </w:rPr>
              <w:t>0</w:t>
            </w:r>
          </w:p>
        </w:tc>
      </w:tr>
    </w:tbl>
    <w:p>
      <w:pPr>
        <w:widowControl/>
        <w:shd w:val="clear" w:color="auto" w:fill="FFFFFF"/>
        <w:spacing w:line="555" w:lineRule="atLeast"/>
        <w:ind w:firstLine="645"/>
        <w:jc w:val="left"/>
        <w:rPr>
          <w:rFonts w:ascii="Arial" w:hAnsi="Arial" w:eastAsia="宋体" w:cs="Arial"/>
          <w:kern w:val="0"/>
          <w:sz w:val="24"/>
          <w:szCs w:val="24"/>
        </w:rPr>
      </w:pPr>
      <w:r>
        <w:rPr>
          <w:rFonts w:hint="eastAsia" w:ascii="宋体" w:hAnsi="宋体" w:eastAsia="宋体" w:cs="宋体"/>
          <w:color w:val="333333"/>
          <w:kern w:val="0"/>
          <w:sz w:val="32"/>
          <w:szCs w:val="32"/>
        </w:rPr>
        <w:t> </w:t>
      </w:r>
    </w:p>
    <w:p>
      <w:pPr>
        <w:widowControl/>
        <w:shd w:val="clear" w:color="auto" w:fill="FFFFFF"/>
        <w:spacing w:line="555" w:lineRule="atLeast"/>
        <w:ind w:firstLine="645"/>
        <w:jc w:val="left"/>
        <w:rPr>
          <w:rFonts w:ascii="Arial" w:hAnsi="Arial" w:eastAsia="宋体" w:cs="Arial"/>
          <w:kern w:val="0"/>
          <w:sz w:val="24"/>
          <w:szCs w:val="24"/>
        </w:rPr>
      </w:pPr>
      <w:r>
        <w:rPr>
          <w:rFonts w:hint="eastAsia" w:ascii="黑体" w:hAnsi="黑体" w:eastAsia="黑体" w:cs="Arial"/>
          <w:color w:val="333333"/>
          <w:kern w:val="0"/>
          <w:sz w:val="32"/>
          <w:szCs w:val="32"/>
        </w:rPr>
        <w:t>五、存在的主要问题及改进情况</w:t>
      </w:r>
    </w:p>
    <w:p>
      <w:pPr>
        <w:widowControl/>
        <w:shd w:val="clear" w:color="auto" w:fill="FFFFFF"/>
        <w:spacing w:line="555" w:lineRule="atLeast"/>
        <w:ind w:firstLine="645"/>
        <w:jc w:val="left"/>
        <w:rPr>
          <w:rFonts w:ascii="Arial" w:hAnsi="Arial" w:eastAsia="宋体" w:cs="Arial"/>
          <w:kern w:val="0"/>
          <w:sz w:val="24"/>
          <w:szCs w:val="24"/>
        </w:rPr>
      </w:pPr>
      <w:r>
        <w:rPr>
          <w:rFonts w:ascii="Times New Roman" w:hAnsi="Times New Roman" w:eastAsia="宋体" w:cs="Times New Roman"/>
          <w:color w:val="3D3D3D"/>
          <w:kern w:val="0"/>
          <w:sz w:val="32"/>
          <w:szCs w:val="32"/>
        </w:rPr>
        <w:t>2020</w:t>
      </w:r>
      <w:r>
        <w:rPr>
          <w:rFonts w:hint="eastAsia" w:ascii="仿宋_GB2312" w:hAnsi="Arial" w:eastAsia="仿宋_GB2312" w:cs="Arial"/>
          <w:color w:val="3D3D3D"/>
          <w:kern w:val="0"/>
          <w:sz w:val="32"/>
          <w:szCs w:val="32"/>
        </w:rPr>
        <w:t>年，我局在加强政府信息公开基础性工作等方面取得了新的进展，但仍存在问题与不足，主要表现在：一是部分主动公开的信息内容还不够完善，信息公开的时效还有待于进一步加强，</w:t>
      </w:r>
      <w:r>
        <w:rPr>
          <w:rFonts w:hint="eastAsia" w:ascii="仿宋" w:hAnsi="仿宋" w:eastAsia="仿宋" w:cs="Arial"/>
          <w:color w:val="3D3D3D"/>
          <w:kern w:val="0"/>
          <w:sz w:val="32"/>
          <w:szCs w:val="32"/>
        </w:rPr>
        <w:t>公开形式及便民性需要进一步提高，在政府信息公开内容的全面性、信息公开制度落实和监督检查方面仍需进一步改进和加强。</w:t>
      </w:r>
      <w:r>
        <w:rPr>
          <w:rFonts w:hint="eastAsia" w:ascii="仿宋_GB2312" w:hAnsi="Arial" w:eastAsia="仿宋_GB2312" w:cs="Arial"/>
          <w:color w:val="3D3D3D"/>
          <w:kern w:val="0"/>
          <w:sz w:val="32"/>
          <w:szCs w:val="32"/>
        </w:rPr>
        <w:t>二是信息公开形式还需要进一步丰富，信息公开程度还需要进一步拓展</w:t>
      </w:r>
      <w:r>
        <w:rPr>
          <w:rFonts w:hint="eastAsia" w:ascii="仿宋" w:hAnsi="仿宋" w:eastAsia="仿宋" w:cs="Arial"/>
          <w:color w:val="3D3D3D"/>
          <w:kern w:val="0"/>
          <w:sz w:val="32"/>
          <w:szCs w:val="32"/>
        </w:rPr>
        <w:t>。</w:t>
      </w:r>
    </w:p>
    <w:p>
      <w:pPr>
        <w:widowControl/>
        <w:shd w:val="clear" w:color="auto" w:fill="FFFFFF"/>
        <w:spacing w:line="555" w:lineRule="atLeast"/>
        <w:jc w:val="left"/>
        <w:rPr>
          <w:rFonts w:ascii="Arial" w:hAnsi="Arial" w:eastAsia="宋体" w:cs="Arial"/>
          <w:kern w:val="0"/>
          <w:sz w:val="24"/>
          <w:szCs w:val="24"/>
        </w:rPr>
      </w:pPr>
      <w:r>
        <w:rPr>
          <w:rFonts w:hint="eastAsia" w:ascii="宋体" w:hAnsi="宋体" w:eastAsia="宋体" w:cs="Arial"/>
          <w:color w:val="3D3D3D"/>
          <w:kern w:val="0"/>
          <w:sz w:val="30"/>
          <w:szCs w:val="30"/>
        </w:rPr>
        <w:t xml:space="preserve">    </w:t>
      </w:r>
      <w:r>
        <w:rPr>
          <w:rFonts w:hint="eastAsia" w:ascii="仿宋" w:hAnsi="仿宋" w:eastAsia="仿宋" w:cs="Arial"/>
          <w:color w:val="3D3D3D"/>
          <w:kern w:val="0"/>
          <w:sz w:val="32"/>
          <w:szCs w:val="32"/>
        </w:rPr>
        <w:t>2021年，我局将继续加大工作力度，创新工作方法，积极通过政府信息公开让公众更大程度参与政府政策制定和社会治理，加强重大政务舆情回应工作，及时回应社会关切，继续加大工作力度，创新工作方法，</w:t>
      </w:r>
      <w:r>
        <w:rPr>
          <w:rFonts w:hint="eastAsia" w:ascii="仿宋" w:hAnsi="仿宋" w:eastAsia="仿宋" w:cs="Arial"/>
          <w:color w:val="3D3D3D"/>
          <w:kern w:val="0"/>
          <w:sz w:val="32"/>
          <w:szCs w:val="32"/>
          <w:shd w:val="clear" w:color="auto" w:fill="FFFFFF"/>
        </w:rPr>
        <w:t>坚持以公开为常态，不公开为例外为基本原则，</w:t>
      </w:r>
      <w:r>
        <w:rPr>
          <w:rFonts w:hint="eastAsia" w:ascii="仿宋" w:hAnsi="仿宋" w:eastAsia="仿宋" w:cs="Arial"/>
          <w:color w:val="3D3D3D"/>
          <w:kern w:val="0"/>
          <w:sz w:val="32"/>
          <w:szCs w:val="32"/>
        </w:rPr>
        <w:t>完善配套制度，努力提高政府信息公开工作水平，确保政府信息公开工作有序开展，</w:t>
      </w:r>
      <w:r>
        <w:rPr>
          <w:rFonts w:hint="eastAsia" w:ascii="仿宋" w:hAnsi="仿宋" w:eastAsia="仿宋" w:cs="Arial"/>
          <w:color w:val="333333"/>
          <w:kern w:val="0"/>
          <w:sz w:val="32"/>
          <w:szCs w:val="32"/>
        </w:rPr>
        <w:t>对信息公开工作进行全面宣传，提高群众参与度和满意度。</w:t>
      </w:r>
    </w:p>
    <w:p>
      <w:pPr>
        <w:widowControl/>
        <w:shd w:val="clear" w:color="auto" w:fill="FFFFFF"/>
        <w:spacing w:line="555" w:lineRule="atLeast"/>
        <w:jc w:val="left"/>
        <w:rPr>
          <w:rFonts w:ascii="Arial" w:hAnsi="Arial" w:eastAsia="宋体" w:cs="Arial"/>
          <w:kern w:val="0"/>
          <w:sz w:val="24"/>
          <w:szCs w:val="24"/>
        </w:rPr>
      </w:pPr>
    </w:p>
    <w:p>
      <w:pPr>
        <w:widowControl/>
        <w:shd w:val="clear" w:color="auto" w:fill="FFFFFF"/>
        <w:spacing w:line="555" w:lineRule="atLeast"/>
        <w:ind w:firstLine="645"/>
        <w:jc w:val="left"/>
        <w:rPr>
          <w:rFonts w:ascii="Arial" w:hAnsi="Arial" w:eastAsia="宋体" w:cs="Arial"/>
          <w:kern w:val="0"/>
          <w:sz w:val="24"/>
          <w:szCs w:val="24"/>
        </w:rPr>
      </w:pPr>
    </w:p>
    <w:p>
      <w:pPr>
        <w:widowControl/>
        <w:shd w:val="clear" w:color="auto" w:fill="FFFFFF"/>
        <w:spacing w:line="555" w:lineRule="atLeast"/>
        <w:ind w:firstLine="645"/>
        <w:jc w:val="left"/>
        <w:rPr>
          <w:rFonts w:ascii="Arial" w:hAnsi="Arial" w:eastAsia="宋体" w:cs="Arial"/>
          <w:kern w:val="0"/>
          <w:sz w:val="24"/>
          <w:szCs w:val="24"/>
        </w:rPr>
      </w:pPr>
      <w:r>
        <w:rPr>
          <w:rFonts w:hint="eastAsia" w:ascii="黑体" w:hAnsi="黑体" w:eastAsia="黑体" w:cs="Arial"/>
          <w:color w:val="333333"/>
          <w:kern w:val="0"/>
          <w:sz w:val="32"/>
          <w:szCs w:val="32"/>
        </w:rPr>
        <w:t>六、其他需要报告的事项</w:t>
      </w:r>
    </w:p>
    <w:p>
      <w:pPr>
        <w:widowControl/>
        <w:spacing w:line="480" w:lineRule="atLeast"/>
        <w:jc w:val="left"/>
        <w:rPr>
          <w:rFonts w:ascii="Arial" w:hAnsi="Arial" w:eastAsia="宋体" w:cs="Arial"/>
          <w:kern w:val="0"/>
          <w:sz w:val="24"/>
          <w:szCs w:val="24"/>
        </w:rPr>
      </w:pPr>
      <w:r>
        <w:rPr>
          <w:rFonts w:hint="eastAsia" w:ascii="宋体" w:hAnsi="宋体" w:eastAsia="宋体" w:cs="宋体"/>
          <w:kern w:val="0"/>
          <w:sz w:val="32"/>
          <w:szCs w:val="32"/>
        </w:rPr>
        <w:t>  </w:t>
      </w:r>
      <w:r>
        <w:rPr>
          <w:rFonts w:hint="eastAsia" w:ascii="仿宋" w:hAnsi="仿宋" w:eastAsia="仿宋" w:cs="仿宋"/>
          <w:kern w:val="0"/>
          <w:sz w:val="32"/>
          <w:szCs w:val="32"/>
        </w:rPr>
        <w:t xml:space="preserve"> 2020</w:t>
      </w:r>
      <w:r>
        <w:rPr>
          <w:rFonts w:hint="eastAsia" w:ascii="仿宋" w:hAnsi="仿宋" w:eastAsia="仿宋" w:cs="Arial"/>
          <w:kern w:val="0"/>
          <w:sz w:val="32"/>
          <w:szCs w:val="32"/>
        </w:rPr>
        <w:t>年，我局承办区十八届人大四次会议代表建议2件，承办区政协十届四次会议委员提案3件，均已按时办结，</w:t>
      </w:r>
      <w:r>
        <w:rPr>
          <w:rFonts w:hint="eastAsia" w:ascii="仿宋" w:hAnsi="仿宋" w:eastAsia="仿宋" w:cs="Arial"/>
          <w:color w:val="333333"/>
          <w:kern w:val="0"/>
          <w:sz w:val="32"/>
          <w:szCs w:val="32"/>
          <w:shd w:val="clear" w:color="auto" w:fill="FFFFFF"/>
        </w:rPr>
        <w:t>相关办理结果已通过政府网站专栏主动公开</w:t>
      </w:r>
      <w:r>
        <w:rPr>
          <w:rFonts w:hint="eastAsia" w:ascii="微软雅黑" w:hAnsi="微软雅黑" w:eastAsia="微软雅黑" w:cs="Arial"/>
          <w:color w:val="333333"/>
          <w:kern w:val="0"/>
          <w:sz w:val="27"/>
          <w:szCs w:val="27"/>
          <w:shd w:val="clear" w:color="auto" w:fill="FFFFFF"/>
        </w:rPr>
        <w:t>。</w:t>
      </w:r>
    </w:p>
    <w:p>
      <w:pPr>
        <w:widowControl/>
        <w:shd w:val="clear" w:color="auto" w:fill="FFFFFF"/>
        <w:spacing w:before="75" w:after="75" w:line="555" w:lineRule="atLeast"/>
        <w:ind w:left="225" w:firstLine="645"/>
        <w:jc w:val="left"/>
        <w:rPr>
          <w:rFonts w:ascii="Arial" w:hAnsi="Arial" w:eastAsia="宋体" w:cs="Arial"/>
          <w:kern w:val="0"/>
          <w:sz w:val="24"/>
          <w:szCs w:val="24"/>
        </w:rPr>
      </w:pPr>
      <w:r>
        <w:rPr>
          <w:rFonts w:ascii="Times New Roman" w:hAnsi="Times New Roman" w:eastAsia="宋体" w:cs="Times New Roman"/>
          <w:color w:val="3D3D3D"/>
          <w:kern w:val="0"/>
          <w:sz w:val="32"/>
          <w:szCs w:val="32"/>
        </w:rPr>
        <w:t xml:space="preserve">                                                                                                   </w:t>
      </w:r>
    </w:p>
    <w:p>
      <w:pPr>
        <w:widowControl/>
        <w:shd w:val="clear" w:color="auto" w:fill="FFFFFF"/>
        <w:spacing w:before="75" w:after="75" w:line="555" w:lineRule="atLeast"/>
        <w:ind w:left="4361" w:leftChars="715" w:hanging="2860" w:hangingChars="894"/>
        <w:jc w:val="left"/>
        <w:rPr>
          <w:rFonts w:ascii="Arial" w:hAnsi="Arial" w:eastAsia="宋体" w:cs="Arial"/>
          <w:kern w:val="0"/>
          <w:sz w:val="24"/>
          <w:szCs w:val="24"/>
        </w:rPr>
      </w:pPr>
      <w:r>
        <w:rPr>
          <w:rFonts w:ascii="Times New Roman" w:hAnsi="Times New Roman" w:eastAsia="宋体" w:cs="Times New Roman"/>
          <w:color w:val="3D3D3D"/>
          <w:kern w:val="0"/>
          <w:sz w:val="32"/>
          <w:szCs w:val="32"/>
        </w:rPr>
        <w:t>                            </w:t>
      </w:r>
      <w:r>
        <w:rPr>
          <w:rFonts w:hint="eastAsia" w:ascii="仿宋_GB2312" w:hAnsi="Arial" w:eastAsia="仿宋_GB2312" w:cs="Arial"/>
          <w:color w:val="3D3D3D"/>
          <w:kern w:val="0"/>
          <w:sz w:val="32"/>
          <w:szCs w:val="32"/>
        </w:rPr>
        <w:t>威海市文登区文化和旅游</w:t>
      </w:r>
      <w:r>
        <w:rPr>
          <w:rFonts w:hint="eastAsia" w:ascii="仿宋_GB2312" w:hAnsi="Arial" w:eastAsia="仿宋_GB2312" w:cs="Arial"/>
          <w:color w:val="3D3D3D"/>
          <w:kern w:val="0"/>
          <w:sz w:val="32"/>
          <w:szCs w:val="32"/>
          <w:lang w:eastAsia="zh-CN"/>
        </w:rPr>
        <w:t>局</w:t>
      </w:r>
      <w:r>
        <w:rPr>
          <w:rFonts w:hint="eastAsia" w:ascii="仿宋_GB2312" w:hAnsi="Arial" w:eastAsia="仿宋_GB2312" w:cs="Arial"/>
          <w:color w:val="3D3D3D"/>
          <w:kern w:val="0"/>
          <w:sz w:val="32"/>
          <w:szCs w:val="32"/>
          <w:lang w:val="en-US" w:eastAsia="zh-CN"/>
        </w:rPr>
        <w:t xml:space="preserve">         </w:t>
      </w:r>
      <w:r>
        <w:rPr>
          <w:rFonts w:ascii="Times New Roman" w:hAnsi="Times New Roman" w:eastAsia="宋体" w:cs="Times New Roman"/>
          <w:color w:val="3D3D3D"/>
          <w:kern w:val="0"/>
          <w:sz w:val="32"/>
          <w:szCs w:val="32"/>
        </w:rPr>
        <w:t>2021</w:t>
      </w:r>
      <w:r>
        <w:rPr>
          <w:rFonts w:hint="eastAsia" w:ascii="仿宋_GB2312" w:hAnsi="Arial" w:eastAsia="仿宋_GB2312" w:cs="Arial"/>
          <w:color w:val="3D3D3D"/>
          <w:kern w:val="0"/>
          <w:sz w:val="32"/>
          <w:szCs w:val="32"/>
        </w:rPr>
        <w:t>年</w:t>
      </w:r>
      <w:r>
        <w:rPr>
          <w:rFonts w:ascii="Times New Roman" w:hAnsi="Times New Roman" w:eastAsia="宋体" w:cs="Times New Roman"/>
          <w:color w:val="3D3D3D"/>
          <w:kern w:val="0"/>
          <w:sz w:val="32"/>
          <w:szCs w:val="32"/>
        </w:rPr>
        <w:t>1</w:t>
      </w:r>
      <w:r>
        <w:rPr>
          <w:rFonts w:hint="eastAsia" w:ascii="仿宋_GB2312" w:hAnsi="Arial" w:eastAsia="仿宋_GB2312" w:cs="Arial"/>
          <w:color w:val="3D3D3D"/>
          <w:kern w:val="0"/>
          <w:sz w:val="32"/>
          <w:szCs w:val="32"/>
        </w:rPr>
        <w:t>月21日</w:t>
      </w:r>
    </w:p>
    <w:p>
      <w:pPr>
        <w:widowControl/>
        <w:spacing w:line="480" w:lineRule="atLeast"/>
        <w:jc w:val="left"/>
        <w:rPr>
          <w:rFonts w:ascii="Arial" w:hAnsi="Arial" w:eastAsia="宋体" w:cs="Arial"/>
          <w:kern w:val="0"/>
          <w:sz w:val="24"/>
          <w:szCs w:val="24"/>
        </w:rPr>
      </w:pPr>
    </w:p>
    <w:p>
      <w:pPr>
        <w:widowControl/>
        <w:spacing w:line="480" w:lineRule="atLeast"/>
        <w:jc w:val="left"/>
        <w:rPr>
          <w:rFonts w:ascii="Arial" w:hAnsi="Arial" w:eastAsia="宋体" w:cs="Arial"/>
          <w:kern w:val="0"/>
          <w:sz w:val="24"/>
          <w:szCs w:val="24"/>
        </w:rPr>
      </w:pPr>
    </w:p>
    <w:p>
      <w:pPr>
        <w:widowControl/>
        <w:spacing w:line="480" w:lineRule="atLeast"/>
        <w:jc w:val="left"/>
        <w:rPr>
          <w:rFonts w:ascii="Arial" w:hAnsi="Arial" w:eastAsia="宋体" w:cs="Arial"/>
          <w:kern w:val="0"/>
          <w:sz w:val="24"/>
          <w:szCs w:val="24"/>
        </w:rPr>
      </w:pPr>
      <w:r>
        <w:rPr>
          <w:rFonts w:ascii="Arial" w:hAnsi="Arial" w:eastAsia="宋体" w:cs="Arial"/>
          <w:kern w:val="0"/>
          <w:sz w:val="24"/>
          <w:szCs w:val="24"/>
        </w:rPr>
        <w:t> </w:t>
      </w:r>
      <w:r>
        <w:rPr>
          <w:rFonts w:ascii="Arial" w:hAnsi="Arial" w:eastAsia="宋体" w:cs="Arial"/>
          <w:color w:val="0000FF"/>
          <w:kern w:val="0"/>
          <w:sz w:val="24"/>
          <w:szCs w:val="24"/>
        </w:rPr>
        <w:drawing>
          <wp:inline distT="0" distB="0" distL="0" distR="0">
            <wp:extent cx="1190625" cy="666750"/>
            <wp:effectExtent l="0" t="0" r="9525" b="0"/>
            <wp:docPr id="6" name="图片 6" descr="http://cms.weihai.gov.cn/jcms/jcms_files/jcms1/web137/site/picture/0/cc9ab4af16764fcd8ab17e0bdd2d75b1.jpg">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http://cms.weihai.gov.cn/jcms/jcms_files/jcms1/web137/site/picture/0/cc9ab4af16764fcd8ab17e0bdd2d75b1.jpg"/>
                    <pic:cNvPicPr>
                      <a:picLocks noChangeAspect="1" noChangeArrowheads="1"/>
                    </pic:cNvPicPr>
                  </pic:nvPicPr>
                  <pic:blipFill>
                    <a:blip r:embed="rId10" cstate="print"/>
                    <a:srcRect/>
                    <a:stretch>
                      <a:fillRect/>
                    </a:stretch>
                  </pic:blipFill>
                  <pic:spPr>
                    <a:xfrm>
                      <a:off x="0" y="0"/>
                      <a:ext cx="1190625" cy="666750"/>
                    </a:xfrm>
                    <a:prstGeom prst="rect">
                      <a:avLst/>
                    </a:prstGeom>
                    <a:noFill/>
                    <a:ln w="9525">
                      <a:noFill/>
                      <a:miter lim="800000"/>
                      <a:headEnd/>
                      <a:tailEnd/>
                    </a:ln>
                  </pic:spPr>
                </pic:pic>
              </a:graphicData>
            </a:graphic>
          </wp:inline>
        </w:drawing>
      </w:r>
      <w:r>
        <w:rPr>
          <w:rFonts w:ascii="Arial" w:hAnsi="Arial" w:eastAsia="宋体" w:cs="Arial"/>
          <w:kern w:val="0"/>
          <w:sz w:val="24"/>
          <w:szCs w:val="24"/>
        </w:rPr>
        <w:t>  </w:t>
      </w:r>
      <w:r>
        <w:rPr>
          <w:rFonts w:ascii="Arial" w:hAnsi="Arial" w:eastAsia="宋体" w:cs="Arial"/>
          <w:color w:val="0000FF"/>
          <w:kern w:val="0"/>
          <w:sz w:val="24"/>
          <w:szCs w:val="24"/>
        </w:rPr>
        <w:drawing>
          <wp:inline distT="0" distB="0" distL="0" distR="0">
            <wp:extent cx="1190625" cy="666750"/>
            <wp:effectExtent l="19050" t="0" r="9525" b="0"/>
            <wp:docPr id="7" name="图片 7" descr="http://cms.weihai.gov.cn/jcms/jcms_files/jcms1/web137/site/picture/0/ca7aa215673a4092be85517d90cd210d.jp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http://cms.weihai.gov.cn/jcms/jcms_files/jcms1/web137/site/picture/0/ca7aa215673a4092be85517d90cd210d.jpg"/>
                    <pic:cNvPicPr>
                      <a:picLocks noChangeAspect="1" noChangeArrowheads="1"/>
                    </pic:cNvPicPr>
                  </pic:nvPicPr>
                  <pic:blipFill>
                    <a:blip r:embed="rId12" cstate="print"/>
                    <a:srcRect/>
                    <a:stretch>
                      <a:fillRect/>
                    </a:stretch>
                  </pic:blipFill>
                  <pic:spPr>
                    <a:xfrm>
                      <a:off x="0" y="0"/>
                      <a:ext cx="1190625" cy="666750"/>
                    </a:xfrm>
                    <a:prstGeom prst="rect">
                      <a:avLst/>
                    </a:prstGeom>
                    <a:noFill/>
                    <a:ln w="9525">
                      <a:noFill/>
                      <a:miter lim="800000"/>
                      <a:headEnd/>
                      <a:tailEnd/>
                    </a:ln>
                  </pic:spPr>
                </pic:pic>
              </a:graphicData>
            </a:graphic>
          </wp:inline>
        </w:drawing>
      </w:r>
      <w:r>
        <w:rPr>
          <w:rFonts w:ascii="Arial" w:hAnsi="Arial" w:eastAsia="宋体" w:cs="Arial"/>
          <w:kern w:val="0"/>
          <w:sz w:val="24"/>
          <w:szCs w:val="24"/>
        </w:rPr>
        <w:t xml:space="preserve">  </w:t>
      </w:r>
      <w:r>
        <w:rPr>
          <w:rFonts w:ascii="Arial" w:hAnsi="Arial" w:eastAsia="宋体" w:cs="Arial"/>
          <w:kern w:val="0"/>
          <w:sz w:val="24"/>
          <w:szCs w:val="24"/>
        </w:rPr>
        <w:drawing>
          <wp:inline distT="0" distB="0" distL="0" distR="0">
            <wp:extent cx="1190625" cy="666750"/>
            <wp:effectExtent l="19050" t="0" r="9525" b="0"/>
            <wp:docPr id="8" name="图片 8" descr="http://cms.weihai.gov.cn/jcms/jcms_files/jcms1/web137/site/picture/0/ea9809cb0d514ca481926f8ce47f2b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http://cms.weihai.gov.cn/jcms/jcms_files/jcms1/web137/site/picture/0/ea9809cb0d514ca481926f8ce47f2b28.jpg"/>
                    <pic:cNvPicPr>
                      <a:picLocks noChangeAspect="1" noChangeArrowheads="1"/>
                    </pic:cNvPicPr>
                  </pic:nvPicPr>
                  <pic:blipFill>
                    <a:blip r:embed="rId13" cstate="print"/>
                    <a:srcRect/>
                    <a:stretch>
                      <a:fillRect/>
                    </a:stretch>
                  </pic:blipFill>
                  <pic:spPr>
                    <a:xfrm>
                      <a:off x="0" y="0"/>
                      <a:ext cx="1190625" cy="666750"/>
                    </a:xfrm>
                    <a:prstGeom prst="rect">
                      <a:avLst/>
                    </a:prstGeom>
                    <a:noFill/>
                    <a:ln w="9525">
                      <a:noFill/>
                      <a:miter lim="800000"/>
                      <a:headEnd/>
                      <a:tailEnd/>
                    </a:ln>
                  </pic:spPr>
                </pic:pic>
              </a:graphicData>
            </a:graphic>
          </wp:inline>
        </w:drawing>
      </w:r>
      <w:r>
        <w:rPr>
          <w:rFonts w:ascii="Arial" w:hAnsi="Arial" w:eastAsia="宋体" w:cs="Arial"/>
          <w:kern w:val="0"/>
          <w:sz w:val="24"/>
          <w:szCs w:val="24"/>
        </w:rPr>
        <w:t>  </w:t>
      </w:r>
      <w:r>
        <w:rPr>
          <w:rFonts w:ascii="Arial" w:hAnsi="Arial" w:eastAsia="宋体" w:cs="Arial"/>
          <w:color w:val="0000FF"/>
          <w:kern w:val="0"/>
          <w:sz w:val="24"/>
          <w:szCs w:val="24"/>
        </w:rPr>
        <w:drawing>
          <wp:inline distT="0" distB="0" distL="0" distR="0">
            <wp:extent cx="1190625" cy="666750"/>
            <wp:effectExtent l="0" t="0" r="9525" b="0"/>
            <wp:docPr id="9" name="图片 9" descr="http://cms.weihai.gov.cn/jcms/jcms_files/jcms1/web137/site/picture/0/fe9e5ea00915495ebbe1f38787dd5807.jpg">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http://cms.weihai.gov.cn/jcms/jcms_files/jcms1/web137/site/picture/0/fe9e5ea00915495ebbe1f38787dd5807.jpg"/>
                    <pic:cNvPicPr>
                      <a:picLocks noChangeAspect="1" noChangeArrowheads="1"/>
                    </pic:cNvPicPr>
                  </pic:nvPicPr>
                  <pic:blipFill>
                    <a:blip r:embed="rId15" cstate="print"/>
                    <a:srcRect/>
                    <a:stretch>
                      <a:fillRect/>
                    </a:stretch>
                  </pic:blipFill>
                  <pic:spPr>
                    <a:xfrm>
                      <a:off x="0" y="0"/>
                      <a:ext cx="1190625" cy="666750"/>
                    </a:xfrm>
                    <a:prstGeom prst="rect">
                      <a:avLst/>
                    </a:prstGeom>
                    <a:noFill/>
                    <a:ln w="9525">
                      <a:noFill/>
                      <a:miter lim="800000"/>
                      <a:headEnd/>
                      <a:tailEnd/>
                    </a:ln>
                  </pic:spPr>
                </pic:pic>
              </a:graphicData>
            </a:graphic>
          </wp:inline>
        </w:drawing>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auto"/>
    <w:pitch w:val="default"/>
    <w:sig w:usb0="E00002FF" w:usb1="400004FF" w:usb2="00000000" w:usb3="00000000" w:csb0="2000019F" w:csb1="00000000"/>
  </w:font>
  <w:font w:name="Arial">
    <w:panose1 w:val="020B0604020202020204"/>
    <w:charset w:val="00"/>
    <w:family w:val="auto"/>
    <w:pitch w:val="default"/>
    <w:sig w:usb0="E0002AFF" w:usb1="C0007843"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1ED9"/>
    <w:rsid w:val="00552AAD"/>
    <w:rsid w:val="007E1ED9"/>
    <w:rsid w:val="49066DF0"/>
    <w:rsid w:val="4FD67EBA"/>
    <w:rsid w:val="60B724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Balloon Text"/>
    <w:basedOn w:val="1"/>
    <w:link w:val="7"/>
    <w:semiHidden/>
    <w:unhideWhenUsed/>
    <w:qFormat/>
    <w:uiPriority w:val="99"/>
    <w:rPr>
      <w:sz w:val="18"/>
      <w:szCs w:val="18"/>
    </w:rPr>
  </w:style>
  <w:style w:type="paragraph" w:styleId="3">
    <w:name w:val="Normal (Web)"/>
    <w:basedOn w:val="1"/>
    <w:semiHidden/>
    <w:unhideWhenUsed/>
    <w:qFormat/>
    <w:uiPriority w:val="99"/>
    <w:pPr>
      <w:widowControl/>
      <w:spacing w:line="480" w:lineRule="atLeast"/>
      <w:jc w:val="left"/>
    </w:pPr>
    <w:rPr>
      <w:rFonts w:ascii="宋体" w:hAnsi="宋体" w:eastAsia="宋体" w:cs="宋体"/>
      <w:kern w:val="0"/>
      <w:sz w:val="24"/>
      <w:szCs w:val="24"/>
    </w:rPr>
  </w:style>
  <w:style w:type="character" w:styleId="5">
    <w:name w:val="Hyperlink"/>
    <w:basedOn w:val="4"/>
    <w:semiHidden/>
    <w:unhideWhenUsed/>
    <w:qFormat/>
    <w:uiPriority w:val="99"/>
    <w:rPr>
      <w:color w:val="0000FF"/>
      <w:u w:val="single"/>
    </w:rPr>
  </w:style>
  <w:style w:type="character" w:customStyle="1" w:styleId="7">
    <w:name w:val="批注框文本 Char"/>
    <w:basedOn w:val="4"/>
    <w:link w:val="2"/>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hyperlink" Target="http://cms.weihai.gov.cn/jcms/jcms_files/jcms1/web137/site/module/download/downfile.jsp?classid=0%26filename=a1f537750e0042b0b719603b13047874.docx" TargetMode="External"/><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xml"/><Relationship Id="rId15" Type="http://schemas.openxmlformats.org/officeDocument/2006/relationships/image" Target="media/image9.jpeg"/><Relationship Id="rId14" Type="http://schemas.openxmlformats.org/officeDocument/2006/relationships/hyperlink" Target="http://cms.weihai.gov.cn/art/2021/2/4/art_57386_2528049.html" TargetMode="External"/><Relationship Id="rId13" Type="http://schemas.openxmlformats.org/officeDocument/2006/relationships/image" Target="media/image8.jpeg"/><Relationship Id="rId12" Type="http://schemas.openxmlformats.org/officeDocument/2006/relationships/image" Target="media/image7.jpeg"/><Relationship Id="rId11" Type="http://schemas.openxmlformats.org/officeDocument/2006/relationships/hyperlink" Target="http://cms.weihai.gov.cn/jcms/jcms_files/jcms1/web137/site/module/download/downfile.jsp?classid=0%26filename=b6d93c4d2c5d4db0b5da60fb3af79eb6.pdf" TargetMode="External"/><Relationship Id="rId10" Type="http://schemas.openxmlformats.org/officeDocument/2006/relationships/image" Target="media/image6.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441</Words>
  <Characters>2517</Characters>
  <Lines>20</Lines>
  <Paragraphs>5</Paragraphs>
  <TotalTime>6</TotalTime>
  <ScaleCrop>false</ScaleCrop>
  <LinksUpToDate>false</LinksUpToDate>
  <CharactersWithSpaces>2953</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2021-05-26T02:49:00Z</dcterms:created>
  <dc:creator>Administrator</dc:creator>
  <cp:lastModifiedBy>Administrator</cp:lastModifiedBy>
  <dcterms:modified xsi:type="dcterms:W3CDTF">2021-12-15T09:14:12Z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y fmtid="{D5CDD505-2E9C-101B-9397-08002B2CF9AE}" pid="3" name="ICV">
    <vt:lpwstr>6B99AFD9C90F4F3F93CBC636A65EA102</vt:lpwstr>
  </property>
</Properties>
</file>