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N w:val="0"/>
        <w:spacing w:line="550" w:lineRule="exact"/>
        <w:jc w:val="both"/>
        <w:rPr>
          <w:rFonts w:hint="eastAsia" w:ascii="方正小标宋简体" w:hAnsi="方正小标宋简体" w:eastAsia="方正小标宋简体"/>
          <w:color w:val="000000"/>
          <w:sz w:val="44"/>
        </w:rPr>
      </w:pPr>
    </w:p>
    <w:p>
      <w:pPr>
        <w:autoSpaceDN w:val="0"/>
        <w:spacing w:line="550" w:lineRule="exact"/>
        <w:jc w:val="center"/>
        <w:rPr>
          <w:rFonts w:hint="eastAsia" w:ascii="方正小标宋简体" w:hAnsi="方正小标宋简体" w:eastAsia="方正小标宋简体"/>
          <w:color w:val="000000"/>
          <w:sz w:val="44"/>
        </w:rPr>
      </w:pPr>
      <w:r>
        <w:rPr>
          <w:rFonts w:hint="eastAsia" w:ascii="方正小标宋简体" w:hAnsi="方正小标宋简体" w:eastAsia="方正小标宋简体"/>
          <w:color w:val="000000"/>
          <w:sz w:val="44"/>
        </w:rPr>
        <w:t>威海市文登区交通运输局</w:t>
      </w:r>
    </w:p>
    <w:p>
      <w:pPr>
        <w:autoSpaceDN w:val="0"/>
        <w:spacing w:line="550" w:lineRule="exact"/>
        <w:jc w:val="center"/>
        <w:rPr>
          <w:rFonts w:hint="eastAsia" w:ascii="方正小标宋简体" w:hAnsi="方正小标宋简体" w:eastAsia="方正小标宋简体"/>
          <w:color w:val="000000"/>
          <w:sz w:val="44"/>
        </w:rPr>
      </w:pPr>
      <w:r>
        <w:rPr>
          <w:rFonts w:hint="eastAsia" w:ascii="方正小标宋简体" w:hAnsi="方正小标宋简体" w:eastAsia="方正小标宋简体"/>
          <w:color w:val="000000"/>
          <w:sz w:val="44"/>
        </w:rPr>
        <w:t>行政处罚决定法制审核实施细则</w:t>
      </w:r>
    </w:p>
    <w:p>
      <w:pPr>
        <w:autoSpaceDN w:val="0"/>
        <w:spacing w:line="550" w:lineRule="exact"/>
        <w:ind w:firstLine="464" w:firstLineChars="145"/>
        <w:rPr>
          <w:rFonts w:hint="eastAsia" w:ascii="仿宋_GB2312" w:hAnsi="仿宋_GB2312" w:eastAsia="仿宋_GB2312"/>
          <w:color w:val="000000"/>
          <w:sz w:val="32"/>
        </w:rPr>
      </w:pPr>
    </w:p>
    <w:p>
      <w:pPr>
        <w:autoSpaceDN w:val="0"/>
        <w:spacing w:line="550" w:lineRule="exact"/>
        <w:ind w:firstLine="640" w:firstLineChars="200"/>
        <w:rPr>
          <w:rFonts w:hint="eastAsia" w:ascii="仿宋_GB2312" w:hAnsi="仿宋_GB2312" w:eastAsia="仿宋_GB2312"/>
          <w:color w:val="000000"/>
          <w:sz w:val="32"/>
        </w:rPr>
      </w:pPr>
      <w:r>
        <w:rPr>
          <w:rFonts w:hint="eastAsia" w:ascii="黑体" w:hAnsi="黑体" w:eastAsia="黑体"/>
          <w:bCs/>
          <w:color w:val="000000"/>
          <w:sz w:val="32"/>
          <w:shd w:val="clear" w:color="auto" w:fill="FFFFFF"/>
        </w:rPr>
        <w:t>第一条</w:t>
      </w:r>
      <w:r>
        <w:rPr>
          <w:rFonts w:hint="eastAsia" w:ascii="仿宋_GB2312" w:hAnsi="仿宋_GB2312" w:eastAsia="仿宋_GB2312"/>
          <w:b/>
          <w:bCs/>
          <w:color w:val="000000"/>
          <w:sz w:val="32"/>
          <w:shd w:val="clear" w:color="auto" w:fill="FFFFFF"/>
        </w:rPr>
        <w:t xml:space="preserve">  </w:t>
      </w:r>
      <w:r>
        <w:rPr>
          <w:rFonts w:hint="eastAsia" w:ascii="仿宋_GB2312" w:hAnsi="仿宋_GB2312" w:eastAsia="仿宋_GB2312" w:cs="仿宋_GB2312"/>
          <w:sz w:val="32"/>
          <w:szCs w:val="32"/>
        </w:rPr>
        <w:t>为了规范交通运输行政处罚行为，促进严格规范公正文明执法，保护公民、法人和其他组织的合法权益，</w:t>
      </w:r>
      <w:r>
        <w:rPr>
          <w:rFonts w:hint="eastAsia" w:ascii="仿宋_GB2312" w:hAnsi="仿宋_GB2312" w:eastAsia="仿宋_GB2312"/>
          <w:color w:val="000000"/>
          <w:sz w:val="32"/>
        </w:rPr>
        <w:t>根据有关法律、法规和规定</w:t>
      </w:r>
      <w:r>
        <w:rPr>
          <w:rFonts w:hint="eastAsia" w:ascii="仿宋_GB2312" w:hAnsi="仿宋_GB2312" w:eastAsia="仿宋_GB2312"/>
          <w:color w:val="000000"/>
          <w:sz w:val="32"/>
          <w:shd w:val="clear" w:color="auto" w:fill="FFFFFF"/>
        </w:rPr>
        <w:t>要求，结合我局工作实际，制定本实施细则。</w:t>
      </w:r>
    </w:p>
    <w:p>
      <w:pPr>
        <w:autoSpaceDN w:val="0"/>
        <w:spacing w:line="550" w:lineRule="exact"/>
        <w:ind w:firstLine="640" w:firstLineChars="200"/>
        <w:rPr>
          <w:rFonts w:ascii="仿宋_GB2312" w:hAnsi="仿宋_GB2312" w:eastAsia="仿宋_GB2312"/>
          <w:color w:val="000000"/>
          <w:sz w:val="32"/>
        </w:rPr>
      </w:pPr>
      <w:r>
        <w:rPr>
          <w:rFonts w:hint="eastAsia" w:ascii="黑体" w:hAnsi="黑体" w:eastAsia="黑体"/>
          <w:bCs/>
          <w:color w:val="000000"/>
          <w:sz w:val="32"/>
          <w:shd w:val="clear" w:color="auto" w:fill="FFFFFF"/>
        </w:rPr>
        <w:t>第二条</w:t>
      </w:r>
      <w:r>
        <w:rPr>
          <w:rFonts w:hint="eastAsia" w:ascii="仿宋_GB2312" w:hAnsi="仿宋_GB2312" w:eastAsia="仿宋_GB2312"/>
          <w:color w:val="000000"/>
          <w:sz w:val="32"/>
        </w:rPr>
        <w:t xml:space="preserve">  除可以当场作出的行政处罚外，行政处罚决定做出前都应当进行法制审核，未经法制审核或者法制审核未通过的不得作出行政处罚决定。</w:t>
      </w:r>
    </w:p>
    <w:p>
      <w:pPr>
        <w:autoSpaceDN w:val="0"/>
        <w:spacing w:line="550" w:lineRule="exact"/>
        <w:ind w:firstLine="640"/>
        <w:rPr>
          <w:rFonts w:hint="eastAsia" w:ascii="仿宋_GB2312" w:hAnsi="仿宋_GB2312" w:eastAsia="仿宋_GB2312"/>
          <w:color w:val="000000"/>
          <w:sz w:val="32"/>
        </w:rPr>
      </w:pPr>
      <w:r>
        <w:rPr>
          <w:rFonts w:hint="eastAsia" w:ascii="黑体" w:hAnsi="黑体" w:eastAsia="黑体"/>
          <w:bCs/>
          <w:color w:val="000000"/>
          <w:sz w:val="32"/>
          <w:shd w:val="clear" w:color="auto" w:fill="FFFFFF"/>
        </w:rPr>
        <w:t>第三条</w:t>
      </w:r>
      <w:r>
        <w:rPr>
          <w:rFonts w:hint="eastAsia" w:ascii="仿宋_GB2312" w:hAnsi="仿宋_GB2312" w:eastAsia="仿宋_GB2312"/>
          <w:color w:val="000000"/>
          <w:sz w:val="32"/>
        </w:rPr>
        <w:t xml:space="preserve">  行政执法机关主要负责人是本机关落实行政处罚决定法制审核制度的第一责任人，对本机关作出的行政处罚决定负责。</w:t>
      </w:r>
    </w:p>
    <w:p>
      <w:pPr>
        <w:autoSpaceDN w:val="0"/>
        <w:spacing w:line="550" w:lineRule="exact"/>
        <w:ind w:firstLine="640"/>
        <w:rPr>
          <w:rFonts w:hint="eastAsia" w:ascii="仿宋_GB2312" w:hAnsi="仿宋_GB2312" w:eastAsia="仿宋_GB2312"/>
          <w:color w:val="000000"/>
          <w:sz w:val="32"/>
        </w:rPr>
      </w:pPr>
      <w:r>
        <w:rPr>
          <w:rFonts w:hint="eastAsia" w:ascii="仿宋_GB2312" w:hAnsi="仿宋_GB2312" w:eastAsia="仿宋_GB2312"/>
          <w:color w:val="000000"/>
          <w:sz w:val="32"/>
        </w:rPr>
        <w:t>局政策法规科（以下称法制审核部门），承担我局行政处罚案件的法制审核工作，对行政处罚决定的法制审核意见负责。</w:t>
      </w:r>
    </w:p>
    <w:p>
      <w:pPr>
        <w:widowControl/>
        <w:spacing w:line="550" w:lineRule="exact"/>
        <w:ind w:firstLine="640" w:firstLineChars="200"/>
        <w:rPr>
          <w:rFonts w:ascii="仿宋_GB2312" w:hAnsi="仿宋_GB2312" w:eastAsia="仿宋_GB2312"/>
          <w:color w:val="000000"/>
          <w:sz w:val="32"/>
        </w:rPr>
      </w:pPr>
      <w:r>
        <w:rPr>
          <w:rFonts w:hint="eastAsia" w:ascii="仿宋_GB2312" w:hAnsi="仿宋_GB2312" w:eastAsia="仿宋_GB2312"/>
          <w:color w:val="000000"/>
          <w:sz w:val="32"/>
        </w:rPr>
        <w:t>局综合执法大队（以下称办案部门），对送审材料的真实性、准确性、完整性，以及执法的事实、证据、法律适用、程序的合法性负责。</w:t>
      </w:r>
    </w:p>
    <w:p>
      <w:pPr>
        <w:autoSpaceDN w:val="0"/>
        <w:spacing w:line="550" w:lineRule="exact"/>
        <w:ind w:firstLine="640" w:firstLineChars="200"/>
        <w:rPr>
          <w:rFonts w:hint="eastAsia" w:ascii="仿宋_GB2312" w:hAnsi="仿宋_GB2312" w:eastAsia="仿宋_GB2312"/>
          <w:color w:val="000000"/>
          <w:sz w:val="32"/>
        </w:rPr>
      </w:pPr>
      <w:r>
        <w:rPr>
          <w:rFonts w:hint="eastAsia" w:ascii="黑体" w:hAnsi="黑体" w:eastAsia="黑体"/>
          <w:bCs/>
          <w:color w:val="000000"/>
          <w:sz w:val="32"/>
          <w:shd w:val="clear" w:color="auto" w:fill="FFFFFF"/>
        </w:rPr>
        <w:t>第四条</w:t>
      </w:r>
      <w:r>
        <w:rPr>
          <w:rFonts w:hint="eastAsia" w:ascii="仿宋_GB2312" w:hAnsi="仿宋_GB2312" w:eastAsia="仿宋_GB2312"/>
          <w:b/>
          <w:bCs/>
          <w:color w:val="000000"/>
          <w:sz w:val="32"/>
        </w:rPr>
        <w:t xml:space="preserve">  </w:t>
      </w:r>
      <w:r>
        <w:rPr>
          <w:rFonts w:hint="eastAsia" w:ascii="仿宋_GB2312" w:hAnsi="仿宋_GB2312" w:eastAsia="仿宋_GB2312"/>
          <w:color w:val="000000"/>
          <w:sz w:val="32"/>
        </w:rPr>
        <w:t>行政处罚法制审核主要从下列方面进行合法性审核：</w:t>
      </w:r>
    </w:p>
    <w:p>
      <w:pPr>
        <w:autoSpaceDN w:val="0"/>
        <w:spacing w:line="550" w:lineRule="exact"/>
        <w:ind w:firstLine="640" w:firstLineChars="200"/>
        <w:rPr>
          <w:rFonts w:hint="eastAsia" w:ascii="仿宋_GB2312" w:hAnsi="仿宋_GB2312" w:eastAsia="仿宋_GB2312"/>
          <w:color w:val="000000"/>
          <w:sz w:val="32"/>
        </w:rPr>
      </w:pPr>
      <w:r>
        <w:rPr>
          <w:rFonts w:hint="eastAsia" w:ascii="仿宋_GB2312" w:hAnsi="仿宋_GB2312" w:eastAsia="仿宋_GB2312"/>
          <w:color w:val="000000"/>
          <w:sz w:val="32"/>
        </w:rPr>
        <w:t>（一）行政执法执法主体是否合法，行政执法人员是否具备执法资格；</w:t>
      </w:r>
    </w:p>
    <w:p>
      <w:pPr>
        <w:autoSpaceDN w:val="0"/>
        <w:spacing w:line="550" w:lineRule="exact"/>
        <w:ind w:firstLine="640" w:firstLineChars="200"/>
        <w:rPr>
          <w:rFonts w:hint="eastAsia" w:ascii="仿宋_GB2312" w:hAnsi="仿宋_GB2312" w:eastAsia="仿宋_GB2312"/>
          <w:color w:val="000000"/>
          <w:sz w:val="32"/>
        </w:rPr>
      </w:pPr>
      <w:r>
        <w:rPr>
          <w:rFonts w:hint="eastAsia" w:ascii="仿宋_GB2312" w:hAnsi="仿宋_GB2312" w:eastAsia="仿宋_GB2312"/>
          <w:color w:val="000000"/>
          <w:sz w:val="32"/>
          <w:szCs w:val="28"/>
        </w:rPr>
        <w:t>（二）行政执法</w:t>
      </w:r>
      <w:r>
        <w:rPr>
          <w:rFonts w:hint="eastAsia" w:ascii="仿宋_GB2312" w:hAnsi="仿宋_GB2312" w:eastAsia="仿宋_GB2312"/>
          <w:color w:val="000000"/>
          <w:sz w:val="32"/>
        </w:rPr>
        <w:t>程序是否合法；</w:t>
      </w:r>
    </w:p>
    <w:p>
      <w:pPr>
        <w:spacing w:line="550" w:lineRule="exact"/>
        <w:ind w:firstLine="640" w:firstLineChars="200"/>
        <w:rPr>
          <w:rFonts w:hint="eastAsia" w:ascii="仿宋_GB2312" w:hAnsi="仿宋_GB2312" w:eastAsia="仿宋_GB2312"/>
          <w:color w:val="000000"/>
          <w:sz w:val="32"/>
          <w:szCs w:val="28"/>
        </w:rPr>
      </w:pPr>
      <w:r>
        <w:rPr>
          <w:rFonts w:hint="eastAsia" w:ascii="仿宋_GB2312" w:hAnsi="仿宋_GB2312" w:eastAsia="仿宋_GB2312"/>
          <w:color w:val="000000"/>
          <w:sz w:val="32"/>
          <w:szCs w:val="28"/>
        </w:rPr>
        <w:t>（三）</w:t>
      </w:r>
      <w:r>
        <w:rPr>
          <w:rFonts w:hint="eastAsia" w:ascii="仿宋_GB2312" w:hAnsi="仿宋_GB2312" w:eastAsia="仿宋_GB2312"/>
          <w:color w:val="000000"/>
          <w:sz w:val="32"/>
        </w:rPr>
        <w:t>案件</w:t>
      </w:r>
      <w:r>
        <w:rPr>
          <w:rFonts w:hint="eastAsia" w:ascii="仿宋_GB2312" w:hAnsi="仿宋_GB2312" w:eastAsia="仿宋_GB2312"/>
          <w:color w:val="000000"/>
          <w:sz w:val="32"/>
          <w:szCs w:val="28"/>
        </w:rPr>
        <w:t>事实是否清楚、证据是否合法充分；</w:t>
      </w:r>
    </w:p>
    <w:p>
      <w:pPr>
        <w:autoSpaceDN w:val="0"/>
        <w:spacing w:line="550" w:lineRule="exact"/>
        <w:ind w:firstLine="640" w:firstLineChars="200"/>
        <w:rPr>
          <w:rFonts w:hint="eastAsia" w:ascii="仿宋_GB2312" w:hAnsi="仿宋_GB2312" w:eastAsia="仿宋_GB2312"/>
          <w:color w:val="000000"/>
          <w:sz w:val="32"/>
        </w:rPr>
      </w:pPr>
      <w:r>
        <w:rPr>
          <w:rFonts w:hint="eastAsia" w:ascii="仿宋_GB2312" w:hAnsi="仿宋_GB2312" w:eastAsia="仿宋_GB2312"/>
          <w:color w:val="000000"/>
          <w:sz w:val="32"/>
        </w:rPr>
        <w:t>（四）</w:t>
      </w:r>
      <w:r>
        <w:rPr>
          <w:rFonts w:hint="eastAsia" w:ascii="仿宋_GB2312" w:hAnsi="仿宋_GB2312" w:eastAsia="仿宋_GB2312"/>
          <w:color w:val="000000"/>
          <w:sz w:val="32"/>
          <w:szCs w:val="28"/>
        </w:rPr>
        <w:t>适用法律、法规、规章是否准确，</w:t>
      </w:r>
      <w:r>
        <w:rPr>
          <w:rFonts w:hint="eastAsia" w:ascii="仿宋_GB2312" w:hAnsi="仿宋_GB2312" w:eastAsia="仿宋_GB2312"/>
          <w:color w:val="000000"/>
          <w:sz w:val="32"/>
        </w:rPr>
        <w:t>裁量基准运用是否适当；</w:t>
      </w:r>
    </w:p>
    <w:p>
      <w:pPr>
        <w:spacing w:line="550" w:lineRule="exact"/>
        <w:ind w:firstLine="640" w:firstLineChars="200"/>
        <w:rPr>
          <w:rFonts w:hint="eastAsia" w:ascii="仿宋_GB2312" w:hAnsi="仿宋_GB2312" w:eastAsia="仿宋_GB2312"/>
          <w:color w:val="000000"/>
          <w:sz w:val="32"/>
          <w:szCs w:val="28"/>
        </w:rPr>
      </w:pPr>
      <w:r>
        <w:rPr>
          <w:rFonts w:hint="eastAsia" w:ascii="仿宋_GB2312" w:hAnsi="仿宋_GB2312" w:eastAsia="仿宋_GB2312"/>
          <w:color w:val="000000"/>
          <w:sz w:val="32"/>
        </w:rPr>
        <w:t>（五）行政处罚行为是否超越行政执法机关法定权限；</w:t>
      </w:r>
    </w:p>
    <w:p>
      <w:pPr>
        <w:autoSpaceDN w:val="0"/>
        <w:spacing w:line="550" w:lineRule="exact"/>
        <w:ind w:firstLine="640" w:firstLineChars="200"/>
        <w:rPr>
          <w:rFonts w:hint="eastAsia" w:ascii="仿宋_GB2312" w:hAnsi="仿宋_GB2312" w:eastAsia="仿宋_GB2312"/>
          <w:color w:val="000000"/>
          <w:sz w:val="32"/>
        </w:rPr>
      </w:pPr>
      <w:r>
        <w:rPr>
          <w:rFonts w:hint="eastAsia" w:ascii="仿宋_GB2312" w:hAnsi="仿宋_GB2312" w:eastAsia="仿宋_GB2312"/>
          <w:color w:val="000000"/>
          <w:sz w:val="32"/>
        </w:rPr>
        <w:t>（六）执法文书是否完备、规范；</w:t>
      </w:r>
    </w:p>
    <w:p>
      <w:pPr>
        <w:autoSpaceDN w:val="0"/>
        <w:spacing w:line="550" w:lineRule="exact"/>
        <w:ind w:firstLine="640" w:firstLineChars="200"/>
        <w:rPr>
          <w:rFonts w:hint="eastAsia" w:ascii="仿宋_GB2312" w:hAnsi="仿宋_GB2312" w:eastAsia="仿宋_GB2312"/>
          <w:color w:val="000000"/>
          <w:sz w:val="32"/>
        </w:rPr>
      </w:pPr>
      <w:r>
        <w:rPr>
          <w:rFonts w:hint="eastAsia" w:ascii="仿宋_GB2312" w:hAnsi="仿宋_GB2312" w:eastAsia="仿宋_GB2312"/>
          <w:color w:val="000000"/>
          <w:sz w:val="32"/>
        </w:rPr>
        <w:t>（七）违法行为是否涉嫌犯罪、需要移送司法机关等。</w:t>
      </w:r>
    </w:p>
    <w:p>
      <w:pPr>
        <w:widowControl/>
        <w:spacing w:line="550" w:lineRule="exact"/>
        <w:ind w:firstLine="640" w:firstLineChars="200"/>
        <w:rPr>
          <w:rFonts w:hint="eastAsia" w:ascii="仿宋_GB2312" w:hAnsi="仿宋_GB2312" w:eastAsia="仿宋_GB2312"/>
          <w:color w:val="000000"/>
          <w:sz w:val="32"/>
        </w:rPr>
      </w:pPr>
      <w:r>
        <w:rPr>
          <w:rFonts w:hint="eastAsia" w:ascii="黑体" w:hAnsi="黑体" w:eastAsia="黑体"/>
          <w:bCs/>
          <w:color w:val="000000"/>
          <w:sz w:val="32"/>
          <w:shd w:val="clear" w:color="auto" w:fill="FFFFFF"/>
        </w:rPr>
        <w:t>第五条</w:t>
      </w:r>
      <w:r>
        <w:rPr>
          <w:rFonts w:hint="eastAsia" w:ascii="仿宋_GB2312" w:hAnsi="仿宋_GB2312" w:eastAsia="仿宋_GB2312"/>
          <w:color w:val="000000"/>
          <w:sz w:val="32"/>
        </w:rPr>
        <w:t xml:space="preserve">  行政处罚决定提交法制审核时应当提供以下材料：</w:t>
      </w:r>
    </w:p>
    <w:p>
      <w:pPr>
        <w:widowControl/>
        <w:spacing w:line="550" w:lineRule="exact"/>
        <w:ind w:firstLine="640" w:firstLineChars="200"/>
        <w:rPr>
          <w:rFonts w:hint="eastAsia" w:ascii="仿宋_GB2312" w:hAnsi="仿宋_GB2312" w:eastAsia="仿宋_GB2312"/>
          <w:color w:val="000000"/>
          <w:sz w:val="32"/>
        </w:rPr>
      </w:pPr>
      <w:r>
        <w:rPr>
          <w:rFonts w:hint="eastAsia" w:ascii="仿宋_GB2312" w:hAnsi="仿宋_GB2312" w:eastAsia="仿宋_GB2312"/>
          <w:color w:val="000000"/>
          <w:sz w:val="32"/>
        </w:rPr>
        <w:t>（一）拟作出的行政</w:t>
      </w:r>
      <w:r>
        <w:rPr>
          <w:rFonts w:hint="eastAsia" w:ascii="仿宋_GB2312" w:hAnsi="仿宋_GB2312" w:eastAsia="仿宋_GB2312"/>
          <w:color w:val="000000"/>
          <w:sz w:val="32"/>
        </w:rPr>
        <w:t>处罚决定；</w:t>
      </w:r>
    </w:p>
    <w:p>
      <w:pPr>
        <w:autoSpaceDN w:val="0"/>
        <w:spacing w:line="550" w:lineRule="exact"/>
        <w:ind w:firstLine="640" w:firstLineChars="200"/>
        <w:rPr>
          <w:rFonts w:ascii="仿宋_GB2312" w:hAnsi="仿宋_GB2312" w:eastAsia="仿宋_GB2312"/>
          <w:color w:val="000000"/>
          <w:sz w:val="32"/>
          <w:shd w:val="clear" w:color="auto" w:fill="FFFFFF"/>
        </w:rPr>
      </w:pPr>
      <w:r>
        <w:rPr>
          <w:rFonts w:hint="eastAsia" w:ascii="仿宋_GB2312" w:hAnsi="仿宋_GB2312" w:eastAsia="仿宋_GB2312"/>
          <w:color w:val="000000"/>
          <w:sz w:val="32"/>
        </w:rPr>
        <w:t>（二</w:t>
      </w:r>
      <w:r>
        <w:rPr>
          <w:rFonts w:hint="eastAsia" w:ascii="仿宋_GB2312" w:hAnsi="仿宋_GB2312" w:eastAsia="仿宋_GB2312"/>
          <w:color w:val="000000"/>
          <w:sz w:val="32"/>
          <w:shd w:val="clear" w:color="auto" w:fill="FFFFFF"/>
        </w:rPr>
        <w:t>） 案件调查报告及相关材料（包括《立案登记表》</w:t>
      </w:r>
      <w:bookmarkStart w:id="0" w:name="_GoBack"/>
      <w:bookmarkEnd w:id="0"/>
      <w:r>
        <w:rPr>
          <w:rFonts w:hint="eastAsia" w:ascii="仿宋_GB2312" w:hAnsi="仿宋_GB2312" w:eastAsia="仿宋_GB2312"/>
          <w:color w:val="000000"/>
          <w:sz w:val="32"/>
          <w:shd w:val="clear" w:color="auto" w:fill="FFFFFF"/>
        </w:rPr>
        <w:t>、《现场笔录》、《询问笔录》、《行政强制措施审批表》</w:t>
      </w:r>
      <w:r>
        <w:rPr>
          <w:rFonts w:ascii="仿宋_GB2312" w:hAnsi="仿宋_GB2312" w:eastAsia="仿宋_GB2312"/>
          <w:color w:val="000000"/>
          <w:sz w:val="32"/>
          <w:shd w:val="clear" w:color="auto" w:fill="FFFFFF"/>
        </w:rPr>
        <w:t>、</w:t>
      </w:r>
      <w:r>
        <w:rPr>
          <w:rFonts w:hint="eastAsia" w:ascii="仿宋_GB2312" w:hAnsi="仿宋_GB2312" w:eastAsia="仿宋_GB2312"/>
          <w:color w:val="000000"/>
          <w:sz w:val="32"/>
          <w:shd w:val="clear" w:color="auto" w:fill="FFFFFF"/>
        </w:rPr>
        <w:t>《行政强制措施决定书》、《文书送达回证》、《调查报告》、《违法行为通知书》等）</w:t>
      </w:r>
      <w:r>
        <w:rPr>
          <w:rFonts w:ascii="仿宋_GB2312" w:hAnsi="仿宋_GB2312" w:eastAsia="仿宋_GB2312"/>
          <w:color w:val="000000"/>
          <w:sz w:val="32"/>
          <w:shd w:val="clear" w:color="auto" w:fill="FFFFFF"/>
        </w:rPr>
        <w:t>；</w:t>
      </w:r>
    </w:p>
    <w:p>
      <w:pPr>
        <w:autoSpaceDN w:val="0"/>
        <w:spacing w:line="550" w:lineRule="exact"/>
        <w:ind w:firstLine="640" w:firstLineChars="200"/>
        <w:rPr>
          <w:rFonts w:hint="eastAsia" w:ascii="仿宋_GB2312" w:hAnsi="仿宋_GB2312" w:eastAsia="仿宋_GB2312"/>
          <w:color w:val="000000"/>
          <w:sz w:val="32"/>
          <w:shd w:val="clear" w:color="auto" w:fill="FFFFFF"/>
        </w:rPr>
      </w:pPr>
      <w:r>
        <w:rPr>
          <w:rFonts w:hint="eastAsia" w:ascii="仿宋_GB2312" w:hAnsi="仿宋_GB2312" w:eastAsia="仿宋_GB2312"/>
          <w:color w:val="000000"/>
          <w:sz w:val="32"/>
          <w:shd w:val="clear" w:color="auto" w:fill="FFFFFF"/>
        </w:rPr>
        <w:t>（三）相关证据材料；</w:t>
      </w:r>
    </w:p>
    <w:p>
      <w:pPr>
        <w:autoSpaceDN w:val="0"/>
        <w:spacing w:line="550" w:lineRule="exact"/>
        <w:ind w:firstLine="640" w:firstLineChars="200"/>
        <w:rPr>
          <w:rFonts w:hint="eastAsia" w:ascii="仿宋_GB2312" w:hAnsi="仿宋_GB2312" w:eastAsia="仿宋_GB2312"/>
          <w:color w:val="000000"/>
          <w:sz w:val="32"/>
          <w:shd w:val="clear" w:color="auto" w:fill="FFFFFF"/>
        </w:rPr>
      </w:pPr>
      <w:r>
        <w:rPr>
          <w:rFonts w:hint="eastAsia" w:ascii="仿宋_GB2312" w:hAnsi="仿宋_GB2312" w:eastAsia="仿宋_GB2312"/>
          <w:color w:val="000000"/>
          <w:sz w:val="32"/>
          <w:shd w:val="clear" w:color="auto" w:fill="FFFFFF"/>
        </w:rPr>
        <w:t>（四）对物品或现场进行勘验（检查）的，应当提交《勘验（检查）笔录》；</w:t>
      </w:r>
    </w:p>
    <w:p>
      <w:pPr>
        <w:autoSpaceDN w:val="0"/>
        <w:spacing w:line="550" w:lineRule="exact"/>
        <w:ind w:firstLine="640" w:firstLineChars="200"/>
        <w:rPr>
          <w:rFonts w:hint="eastAsia" w:ascii="仿宋_GB2312" w:hAnsi="仿宋_GB2312" w:eastAsia="仿宋_GB2312"/>
          <w:color w:val="000000"/>
          <w:sz w:val="32"/>
          <w:shd w:val="clear" w:color="auto" w:fill="FFFFFF"/>
        </w:rPr>
      </w:pPr>
      <w:r>
        <w:rPr>
          <w:rFonts w:hint="eastAsia" w:ascii="仿宋_GB2312" w:hAnsi="仿宋_GB2312" w:eastAsia="仿宋_GB2312"/>
          <w:color w:val="000000"/>
          <w:sz w:val="32"/>
          <w:shd w:val="clear" w:color="auto" w:fill="FFFFFF"/>
        </w:rPr>
        <w:t>（五） 对有关证据采取先行登记保存措施的，应当提交《证据登记保存清单》和《证据登记保存处理决定书》；</w:t>
      </w:r>
    </w:p>
    <w:p>
      <w:pPr>
        <w:autoSpaceDN w:val="0"/>
        <w:spacing w:line="550" w:lineRule="exact"/>
        <w:ind w:firstLine="640" w:firstLineChars="200"/>
        <w:rPr>
          <w:rFonts w:hint="eastAsia" w:ascii="仿宋_GB2312" w:hAnsi="仿宋_GB2312" w:eastAsia="仿宋_GB2312"/>
          <w:color w:val="000000"/>
          <w:sz w:val="32"/>
          <w:shd w:val="clear" w:color="auto" w:fill="FFFFFF"/>
        </w:rPr>
      </w:pPr>
      <w:r>
        <w:rPr>
          <w:rFonts w:hint="eastAsia" w:ascii="仿宋_GB2312" w:hAnsi="仿宋_GB2312" w:eastAsia="仿宋_GB2312"/>
          <w:color w:val="000000"/>
          <w:sz w:val="32"/>
          <w:shd w:val="clear" w:color="auto" w:fill="FFFFFF"/>
        </w:rPr>
        <w:t>（六）经听证的，应当提交《听证笔录》；</w:t>
      </w:r>
    </w:p>
    <w:p>
      <w:pPr>
        <w:autoSpaceDN w:val="0"/>
        <w:spacing w:line="550" w:lineRule="exact"/>
        <w:ind w:firstLine="640" w:firstLineChars="200"/>
        <w:rPr>
          <w:rFonts w:hint="eastAsia" w:ascii="仿宋_GB2312" w:hAnsi="仿宋_GB2312" w:eastAsia="仿宋_GB2312"/>
          <w:color w:val="000000"/>
          <w:sz w:val="32"/>
          <w:shd w:val="clear" w:color="auto" w:fill="FFFFFF"/>
        </w:rPr>
      </w:pPr>
      <w:r>
        <w:rPr>
          <w:rFonts w:hint="eastAsia" w:ascii="仿宋_GB2312" w:hAnsi="仿宋_GB2312" w:eastAsia="仿宋_GB2312"/>
          <w:color w:val="000000"/>
          <w:sz w:val="32"/>
          <w:shd w:val="clear" w:color="auto" w:fill="FFFFFF"/>
        </w:rPr>
        <w:t>（七）经集体讨论的，应当提交《重大案件集体讨论记录》；</w:t>
      </w:r>
    </w:p>
    <w:p>
      <w:pPr>
        <w:autoSpaceDN w:val="0"/>
        <w:spacing w:line="550" w:lineRule="exact"/>
        <w:ind w:firstLine="640" w:firstLineChars="200"/>
        <w:rPr>
          <w:rFonts w:hint="eastAsia" w:ascii="仿宋_GB2312" w:hAnsi="仿宋_GB2312" w:eastAsia="仿宋_GB2312"/>
          <w:color w:val="000000"/>
          <w:sz w:val="32"/>
          <w:shd w:val="clear" w:color="auto" w:fill="FFFFFF"/>
        </w:rPr>
      </w:pPr>
      <w:r>
        <w:rPr>
          <w:rFonts w:hint="eastAsia" w:ascii="仿宋_GB2312" w:hAnsi="仿宋_GB2312" w:eastAsia="仿宋_GB2312"/>
          <w:color w:val="000000"/>
          <w:sz w:val="32"/>
          <w:shd w:val="clear" w:color="auto" w:fill="FFFFFF"/>
        </w:rPr>
        <w:t>（八）办案部门按照要求填写的《</w:t>
      </w:r>
      <w:r>
        <w:rPr>
          <w:rFonts w:hint="eastAsia" w:ascii="仿宋_GB2312" w:hAnsi="仿宋_GB2312" w:eastAsia="仿宋_GB2312"/>
          <w:color w:val="000000"/>
          <w:sz w:val="32"/>
        </w:rPr>
        <w:t>重大行政执法决定法制审核意见表</w:t>
      </w:r>
      <w:r>
        <w:rPr>
          <w:rFonts w:hint="eastAsia" w:ascii="仿宋_GB2312" w:hAnsi="仿宋_GB2312" w:eastAsia="仿宋_GB2312"/>
          <w:color w:val="000000"/>
          <w:sz w:val="32"/>
          <w:shd w:val="clear" w:color="auto" w:fill="FFFFFF"/>
        </w:rPr>
        <w:t>》；</w:t>
      </w:r>
    </w:p>
    <w:p>
      <w:pPr>
        <w:autoSpaceDN w:val="0"/>
        <w:spacing w:line="550" w:lineRule="exact"/>
        <w:ind w:firstLine="640" w:firstLineChars="200"/>
        <w:rPr>
          <w:rFonts w:hint="eastAsia" w:ascii="仿宋_GB2312" w:hAnsi="仿宋_GB2312" w:eastAsia="仿宋_GB2312"/>
          <w:color w:val="000000"/>
          <w:sz w:val="32"/>
          <w:shd w:val="clear" w:color="auto" w:fill="FFFFFF"/>
        </w:rPr>
      </w:pPr>
      <w:r>
        <w:rPr>
          <w:rFonts w:hint="eastAsia" w:ascii="仿宋_GB2312" w:hAnsi="仿宋_GB2312" w:eastAsia="仿宋_GB2312"/>
          <w:color w:val="000000"/>
          <w:sz w:val="32"/>
          <w:shd w:val="clear" w:color="auto" w:fill="FFFFFF"/>
        </w:rPr>
        <w:t>（九）其他需要的有关材料。</w:t>
      </w:r>
    </w:p>
    <w:p>
      <w:pPr>
        <w:autoSpaceDN w:val="0"/>
        <w:spacing w:line="550" w:lineRule="exact"/>
        <w:ind w:firstLine="640" w:firstLineChars="200"/>
        <w:rPr>
          <w:rFonts w:hint="eastAsia" w:ascii="仿宋_GB2312" w:hAnsi="仿宋_GB2312" w:eastAsia="仿宋_GB2312"/>
          <w:color w:val="000000"/>
          <w:sz w:val="32"/>
          <w:shd w:val="clear" w:color="auto" w:fill="FFFFFF"/>
        </w:rPr>
      </w:pPr>
      <w:r>
        <w:rPr>
          <w:rFonts w:hint="eastAsia" w:ascii="仿宋_GB2312" w:hAnsi="仿宋_GB2312" w:eastAsia="仿宋_GB2312"/>
          <w:color w:val="000000"/>
          <w:sz w:val="32"/>
        </w:rPr>
        <w:t>案件材料提交不完整的，法制审核部门可以要求办案部门作出说明或补充材料。</w:t>
      </w:r>
    </w:p>
    <w:p>
      <w:pPr>
        <w:autoSpaceDN w:val="0"/>
        <w:spacing w:line="550" w:lineRule="exact"/>
        <w:ind w:firstLine="640" w:firstLineChars="200"/>
        <w:rPr>
          <w:rFonts w:hint="eastAsia" w:ascii="仿宋_GB2312" w:hAnsi="仿宋_GB2312" w:eastAsia="仿宋_GB2312"/>
          <w:color w:val="000000"/>
          <w:sz w:val="32"/>
        </w:rPr>
      </w:pPr>
      <w:r>
        <w:rPr>
          <w:rFonts w:hint="eastAsia" w:ascii="黑体" w:hAnsi="黑体" w:eastAsia="黑体"/>
          <w:bCs/>
          <w:color w:val="000000"/>
          <w:sz w:val="32"/>
          <w:shd w:val="clear" w:color="auto" w:fill="FFFFFF"/>
        </w:rPr>
        <w:t>第六条</w:t>
      </w:r>
      <w:r>
        <w:rPr>
          <w:rFonts w:hint="eastAsia" w:ascii="仿宋_GB2312" w:hAnsi="仿宋_GB2312" w:eastAsia="仿宋_GB2312"/>
          <w:color w:val="000000"/>
          <w:sz w:val="32"/>
        </w:rPr>
        <w:t xml:space="preserve">  法制审核以文字审核为</w:t>
      </w:r>
      <w:r>
        <w:rPr>
          <w:rFonts w:hint="eastAsia" w:ascii="仿宋_GB2312" w:hAnsi="仿宋_GB2312" w:eastAsia="仿宋_GB2312"/>
          <w:color w:val="000000"/>
          <w:sz w:val="32"/>
          <w:shd w:val="clear" w:color="auto" w:fill="FFFFFF"/>
        </w:rPr>
        <w:t>主，必要时法制审核人员可以向当事人和案件具体执法人员了解</w:t>
      </w:r>
      <w:r>
        <w:rPr>
          <w:rFonts w:hint="eastAsia" w:ascii="仿宋_GB2312" w:hAnsi="仿宋_GB2312" w:eastAsia="仿宋_GB2312"/>
          <w:color w:val="000000"/>
          <w:sz w:val="32"/>
        </w:rPr>
        <w:t>情况。</w:t>
      </w:r>
    </w:p>
    <w:p>
      <w:pPr>
        <w:autoSpaceDN w:val="0"/>
        <w:spacing w:line="550" w:lineRule="exact"/>
        <w:ind w:firstLine="640" w:firstLineChars="200"/>
        <w:rPr>
          <w:rFonts w:hint="eastAsia" w:ascii="仿宋_GB2312" w:hAnsi="仿宋_GB2312" w:eastAsia="仿宋_GB2312"/>
          <w:color w:val="000000"/>
          <w:sz w:val="32"/>
        </w:rPr>
      </w:pPr>
      <w:r>
        <w:rPr>
          <w:rFonts w:hint="eastAsia" w:ascii="黑体" w:hAnsi="黑体" w:eastAsia="黑体"/>
          <w:bCs/>
          <w:color w:val="000000"/>
          <w:sz w:val="32"/>
          <w:shd w:val="clear" w:color="auto" w:fill="FFFFFF"/>
        </w:rPr>
        <w:t>第七条</w:t>
      </w:r>
      <w:r>
        <w:rPr>
          <w:rFonts w:hint="eastAsia" w:ascii="仿宋_GB2312" w:hAnsi="仿宋_GB2312" w:eastAsia="仿宋_GB2312"/>
          <w:color w:val="000000"/>
          <w:sz w:val="32"/>
        </w:rPr>
        <w:t xml:space="preserve">  法制审核部门</w:t>
      </w:r>
      <w:r>
        <w:rPr>
          <w:rFonts w:hint="eastAsia" w:ascii="仿宋_GB2312" w:hAnsi="仿宋_GB2312" w:eastAsia="仿宋_GB2312"/>
          <w:color w:val="000000"/>
          <w:sz w:val="32"/>
          <w:szCs w:val="22"/>
        </w:rPr>
        <w:t>应当及时对提交的案件材料进行审核，填写《调查报告》和《重大行政执法决定法制审核意见表》（见附件），符合审核内容要求的，作出同意的文字审核意见，存入行政执法</w:t>
      </w:r>
      <w:r>
        <w:rPr>
          <w:rFonts w:hint="eastAsia" w:ascii="仿宋_GB2312" w:hAnsi="仿宋_GB2312" w:eastAsia="仿宋_GB2312"/>
          <w:color w:val="000000"/>
          <w:sz w:val="32"/>
        </w:rPr>
        <w:t>案卷。</w:t>
      </w:r>
    </w:p>
    <w:p>
      <w:pPr>
        <w:autoSpaceDN w:val="0"/>
        <w:spacing w:line="550" w:lineRule="exact"/>
        <w:ind w:firstLine="640" w:firstLineChars="200"/>
        <w:rPr>
          <w:rFonts w:hint="eastAsia" w:ascii="仿宋_GB2312" w:hAnsi="仿宋_GB2312" w:eastAsia="仿宋_GB2312"/>
          <w:color w:val="000000"/>
          <w:sz w:val="32"/>
        </w:rPr>
      </w:pPr>
      <w:r>
        <w:rPr>
          <w:rFonts w:hint="eastAsia" w:ascii="黑体" w:hAnsi="黑体" w:eastAsia="黑体"/>
          <w:bCs/>
          <w:color w:val="000000"/>
          <w:sz w:val="32"/>
          <w:shd w:val="clear" w:color="auto" w:fill="FFFFFF"/>
        </w:rPr>
        <w:t>第八条</w:t>
      </w:r>
      <w:r>
        <w:rPr>
          <w:rFonts w:hint="eastAsia" w:ascii="仿宋_GB2312" w:hAnsi="仿宋_GB2312" w:eastAsia="仿宋_GB2312"/>
          <w:b/>
          <w:bCs/>
          <w:color w:val="000000"/>
          <w:sz w:val="32"/>
        </w:rPr>
        <w:t xml:space="preserve">  </w:t>
      </w:r>
      <w:r>
        <w:rPr>
          <w:rFonts w:hint="eastAsia" w:ascii="仿宋_GB2312" w:hAnsi="仿宋_GB2312" w:eastAsia="仿宋_GB2312"/>
          <w:color w:val="000000"/>
          <w:sz w:val="32"/>
        </w:rPr>
        <w:t>法制审核部门认为案件材料不符合审核内容要求的，应当对存在的问题提出文字审核意见：</w:t>
      </w:r>
    </w:p>
    <w:p>
      <w:pPr>
        <w:autoSpaceDN w:val="0"/>
        <w:spacing w:line="550" w:lineRule="exact"/>
        <w:ind w:firstLine="640" w:firstLineChars="200"/>
        <w:rPr>
          <w:rFonts w:hint="eastAsia" w:ascii="仿宋_GB2312" w:hAnsi="仿宋_GB2312" w:eastAsia="仿宋_GB2312"/>
          <w:color w:val="000000"/>
          <w:sz w:val="32"/>
        </w:rPr>
      </w:pPr>
      <w:r>
        <w:rPr>
          <w:rFonts w:hint="eastAsia" w:ascii="仿宋_GB2312" w:hAnsi="仿宋_GB2312" w:eastAsia="仿宋_GB2312"/>
          <w:color w:val="000000"/>
          <w:sz w:val="32"/>
        </w:rPr>
        <w:t>（一）主要事实不清、证据不足的，作出补充调查建议；</w:t>
      </w:r>
    </w:p>
    <w:p>
      <w:pPr>
        <w:autoSpaceDN w:val="0"/>
        <w:spacing w:line="550" w:lineRule="exact"/>
        <w:ind w:firstLine="640" w:firstLineChars="200"/>
        <w:rPr>
          <w:rFonts w:hint="eastAsia" w:ascii="仿宋_GB2312" w:hAnsi="仿宋_GB2312" w:eastAsia="仿宋_GB2312"/>
          <w:color w:val="000000"/>
          <w:sz w:val="32"/>
        </w:rPr>
      </w:pPr>
      <w:r>
        <w:rPr>
          <w:rFonts w:hint="eastAsia" w:ascii="仿宋_GB2312" w:hAnsi="仿宋_GB2312" w:eastAsia="仿宋_GB2312"/>
          <w:color w:val="000000"/>
          <w:sz w:val="32"/>
        </w:rPr>
        <w:t>（二）适用法律不准确、裁量基准不当的，作出变更建议；</w:t>
      </w:r>
    </w:p>
    <w:p>
      <w:pPr>
        <w:autoSpaceDN w:val="0"/>
        <w:spacing w:line="550" w:lineRule="exact"/>
        <w:ind w:firstLine="640" w:firstLineChars="200"/>
        <w:rPr>
          <w:rFonts w:hint="eastAsia" w:ascii="仿宋_GB2312" w:hAnsi="仿宋_GB2312" w:eastAsia="仿宋_GB2312"/>
          <w:color w:val="000000"/>
          <w:sz w:val="32"/>
        </w:rPr>
      </w:pPr>
      <w:r>
        <w:rPr>
          <w:rFonts w:hint="eastAsia" w:ascii="仿宋_GB2312" w:hAnsi="仿宋_GB2312" w:eastAsia="仿宋_GB2312"/>
          <w:color w:val="000000"/>
          <w:sz w:val="32"/>
        </w:rPr>
        <w:t>（三）程序不合法的，提出纠正意见；</w:t>
      </w:r>
    </w:p>
    <w:p>
      <w:pPr>
        <w:autoSpaceDN w:val="0"/>
        <w:spacing w:line="550" w:lineRule="exact"/>
        <w:ind w:firstLine="640" w:firstLineChars="200"/>
        <w:rPr>
          <w:rFonts w:hint="eastAsia" w:ascii="仿宋_GB2312" w:hAnsi="仿宋_GB2312" w:eastAsia="仿宋_GB2312"/>
          <w:color w:val="000000"/>
          <w:sz w:val="32"/>
        </w:rPr>
      </w:pPr>
      <w:r>
        <w:rPr>
          <w:rFonts w:hint="eastAsia" w:ascii="仿宋_GB2312" w:hAnsi="仿宋_GB2312" w:eastAsia="仿宋_GB2312"/>
          <w:color w:val="000000"/>
          <w:sz w:val="32"/>
        </w:rPr>
        <w:t>（四）超出行政执法机关管辖范围或涉嫌犯罪的，提出移送意见。</w:t>
      </w:r>
    </w:p>
    <w:p>
      <w:pPr>
        <w:autoSpaceDN w:val="0"/>
        <w:spacing w:line="550" w:lineRule="exact"/>
        <w:ind w:firstLine="640" w:firstLineChars="200"/>
        <w:rPr>
          <w:rFonts w:hint="eastAsia" w:ascii="仿宋_GB2312" w:hAnsi="仿宋_GB2312" w:eastAsia="仿宋_GB2312"/>
          <w:color w:val="000000"/>
          <w:sz w:val="32"/>
        </w:rPr>
      </w:pPr>
      <w:r>
        <w:rPr>
          <w:rFonts w:hint="eastAsia" w:ascii="黑体" w:hAnsi="黑体" w:eastAsia="黑体"/>
          <w:bCs/>
          <w:color w:val="000000"/>
          <w:sz w:val="32"/>
          <w:shd w:val="clear" w:color="auto" w:fill="FFFFFF"/>
        </w:rPr>
        <w:t>第九条</w:t>
      </w:r>
      <w:r>
        <w:rPr>
          <w:rFonts w:hint="eastAsia" w:ascii="仿宋_GB2312" w:hAnsi="仿宋_GB2312" w:eastAsia="仿宋_GB2312"/>
          <w:color w:val="000000"/>
          <w:sz w:val="32"/>
        </w:rPr>
        <w:t xml:space="preserve">  办案部门应当对案件材料存在的问题作出相关处理后再次报送法制审核。</w:t>
      </w:r>
    </w:p>
    <w:p>
      <w:pPr>
        <w:autoSpaceDN w:val="0"/>
        <w:spacing w:line="550" w:lineRule="exact"/>
        <w:ind w:firstLine="640" w:firstLineChars="200"/>
        <w:rPr>
          <w:rFonts w:hint="eastAsia" w:ascii="仿宋_GB2312" w:hAnsi="仿宋_GB2312" w:eastAsia="仿宋_GB2312"/>
          <w:color w:val="000000"/>
          <w:sz w:val="32"/>
        </w:rPr>
      </w:pPr>
      <w:r>
        <w:rPr>
          <w:rFonts w:hint="eastAsia" w:ascii="仿宋_GB2312" w:hAnsi="仿宋_GB2312" w:eastAsia="仿宋_GB2312"/>
          <w:color w:val="000000"/>
          <w:sz w:val="32"/>
        </w:rPr>
        <w:t>办案部门对法制</w:t>
      </w:r>
      <w:r>
        <w:rPr>
          <w:rFonts w:hint="eastAsia" w:ascii="仿宋_GB2312" w:hAnsi="仿宋_GB2312" w:eastAsia="仿宋_GB2312" w:cs="仿宋_GB2312"/>
          <w:color w:val="000000"/>
          <w:sz w:val="32"/>
          <w:szCs w:val="32"/>
          <w:shd w:val="clear" w:color="auto" w:fill="FFFFFF"/>
        </w:rPr>
        <w:t>审</w:t>
      </w:r>
      <w:r>
        <w:rPr>
          <w:rFonts w:hint="eastAsia" w:ascii="仿宋_GB2312" w:hAnsi="仿宋_GB2312" w:eastAsia="仿宋_GB2312"/>
          <w:color w:val="000000"/>
          <w:sz w:val="32"/>
          <w:shd w:val="clear" w:color="auto" w:fill="FFFFFF"/>
        </w:rPr>
        <w:t>核意见或建议有异议的应与法制审核部门协商沟通，经沟通无法达成一致的，由法制审核部门报行政执法机关负责人决定。</w:t>
      </w:r>
    </w:p>
    <w:p>
      <w:pPr>
        <w:autoSpaceDN w:val="0"/>
        <w:spacing w:line="550" w:lineRule="exact"/>
        <w:ind w:firstLine="640" w:firstLineChars="200"/>
        <w:rPr>
          <w:rFonts w:hint="eastAsia" w:ascii="仿宋_GB2312" w:hAnsi="仿宋_GB2312" w:eastAsia="仿宋_GB2312"/>
          <w:color w:val="000000"/>
          <w:sz w:val="32"/>
        </w:rPr>
      </w:pPr>
      <w:r>
        <w:rPr>
          <w:rFonts w:hint="eastAsia" w:ascii="黑体" w:hAnsi="黑体" w:eastAsia="黑体"/>
          <w:bCs/>
          <w:color w:val="000000"/>
          <w:sz w:val="32"/>
          <w:shd w:val="clear" w:color="auto" w:fill="FFFFFF"/>
        </w:rPr>
        <w:t>第十条</w:t>
      </w:r>
      <w:r>
        <w:rPr>
          <w:rFonts w:hint="eastAsia" w:ascii="仿宋_GB2312" w:hAnsi="仿宋_GB2312" w:eastAsia="仿宋_GB2312"/>
          <w:color w:val="000000"/>
          <w:sz w:val="32"/>
        </w:rPr>
        <w:t xml:space="preserve">  法制审核部门应当在收到行政处罚决定完备的送审材料之日起5个工作日内完成审核。案件复杂的，经行政执法机关主要负责人批准可延长3个工作日。</w:t>
      </w:r>
    </w:p>
    <w:p>
      <w:pPr>
        <w:autoSpaceDN w:val="0"/>
        <w:spacing w:line="550" w:lineRule="exact"/>
        <w:ind w:firstLine="640" w:firstLineChars="200"/>
        <w:rPr>
          <w:rFonts w:hint="eastAsia" w:ascii="仿宋_GB2312" w:hAnsi="仿宋_GB2312" w:eastAsia="仿宋_GB2312"/>
          <w:color w:val="000000"/>
          <w:sz w:val="32"/>
        </w:rPr>
      </w:pPr>
      <w:r>
        <w:rPr>
          <w:rFonts w:hint="eastAsia" w:ascii="仿宋_GB2312" w:hAnsi="仿宋_GB2312" w:eastAsia="仿宋_GB2312"/>
          <w:color w:val="000000"/>
          <w:sz w:val="32"/>
        </w:rPr>
        <w:t>法制审核的时间计入行政处罚办理期间。</w:t>
      </w:r>
    </w:p>
    <w:p>
      <w:pPr>
        <w:autoSpaceDN w:val="0"/>
        <w:spacing w:line="550" w:lineRule="exact"/>
        <w:ind w:firstLine="640" w:firstLineChars="200"/>
        <w:rPr>
          <w:rFonts w:hint="eastAsia" w:ascii="仿宋_GB2312" w:hAnsi="仿宋_GB2312" w:eastAsia="仿宋_GB2312"/>
          <w:color w:val="000000"/>
          <w:sz w:val="32"/>
        </w:rPr>
      </w:pPr>
      <w:r>
        <w:rPr>
          <w:rFonts w:hint="eastAsia" w:ascii="黑体" w:hAnsi="黑体" w:eastAsia="黑体"/>
          <w:bCs/>
          <w:color w:val="000000"/>
          <w:sz w:val="32"/>
          <w:shd w:val="clear" w:color="auto" w:fill="FFFFFF"/>
        </w:rPr>
        <w:t>第十一条</w:t>
      </w:r>
      <w:r>
        <w:rPr>
          <w:rFonts w:hint="eastAsia" w:ascii="仿宋_GB2312" w:hAnsi="仿宋_GB2312" w:eastAsia="仿宋_GB2312"/>
          <w:color w:val="000000"/>
          <w:sz w:val="32"/>
        </w:rPr>
        <w:t xml:space="preserve">  案情复杂、专业性较强的</w:t>
      </w:r>
      <w:r>
        <w:rPr>
          <w:rFonts w:hint="eastAsia" w:ascii="仿宋_GB2312" w:hAnsi="仿宋_GB2312" w:eastAsia="仿宋_GB2312"/>
          <w:color w:val="000000"/>
          <w:sz w:val="32"/>
          <w:shd w:val="clear" w:color="auto" w:fill="FFFFFF"/>
        </w:rPr>
        <w:t>案件，法制审核部门可以组织召开座谈会、专家论证会等进行研究论证。</w:t>
      </w:r>
    </w:p>
    <w:p>
      <w:pPr>
        <w:autoSpaceDN w:val="0"/>
        <w:spacing w:line="550" w:lineRule="exact"/>
        <w:ind w:firstLine="640" w:firstLineChars="200"/>
        <w:rPr>
          <w:rFonts w:hint="eastAsia" w:ascii="仿宋_GB2312" w:hAnsi="仿宋_GB2312" w:eastAsia="仿宋_GB2312"/>
          <w:color w:val="000000"/>
          <w:sz w:val="32"/>
        </w:rPr>
      </w:pPr>
      <w:r>
        <w:rPr>
          <w:rFonts w:hint="eastAsia" w:ascii="黑体" w:hAnsi="黑体" w:eastAsia="黑体"/>
          <w:bCs/>
          <w:color w:val="000000"/>
          <w:sz w:val="32"/>
          <w:shd w:val="clear" w:color="auto" w:fill="FFFFFF"/>
        </w:rPr>
        <w:t>第十二条</w:t>
      </w:r>
      <w:r>
        <w:rPr>
          <w:rFonts w:hint="eastAsia" w:ascii="仿宋_GB2312" w:hAnsi="仿宋_GB2312" w:eastAsia="仿宋_GB2312"/>
          <w:color w:val="000000"/>
          <w:sz w:val="32"/>
        </w:rPr>
        <w:t xml:space="preserve">  本实施细则未尽事宜，按照《山东省重大执法决定法制审核办法》中相关规定执行。</w:t>
      </w:r>
    </w:p>
    <w:p>
      <w:pPr>
        <w:autoSpaceDN w:val="0"/>
        <w:spacing w:line="550" w:lineRule="exact"/>
        <w:ind w:firstLine="640" w:firstLineChars="200"/>
        <w:rPr>
          <w:rFonts w:hint="eastAsia" w:ascii="仿宋_GB2312" w:hAnsi="仿宋_GB2312" w:eastAsia="仿宋_GB2312"/>
          <w:color w:val="000000"/>
          <w:sz w:val="32"/>
        </w:rPr>
      </w:pPr>
      <w:r>
        <w:rPr>
          <w:rFonts w:hint="eastAsia" w:ascii="黑体" w:hAnsi="黑体" w:eastAsia="黑体"/>
          <w:bCs/>
          <w:color w:val="000000"/>
          <w:sz w:val="32"/>
          <w:shd w:val="clear" w:color="auto" w:fill="FFFFFF"/>
        </w:rPr>
        <w:t>第十三条</w:t>
      </w:r>
      <w:r>
        <w:rPr>
          <w:rFonts w:hint="eastAsia" w:ascii="仿宋_GB2312" w:hAnsi="仿宋_GB2312" w:eastAsia="仿宋_GB2312"/>
          <w:color w:val="000000"/>
          <w:sz w:val="32"/>
        </w:rPr>
        <w:t xml:space="preserve">  </w:t>
      </w:r>
      <w:r>
        <w:rPr>
          <w:rFonts w:ascii="仿宋_GB2312" w:hAnsi="仿宋_GB2312" w:eastAsia="仿宋_GB2312"/>
          <w:color w:val="000000"/>
          <w:sz w:val="32"/>
        </w:rPr>
        <w:t>本</w:t>
      </w:r>
      <w:r>
        <w:rPr>
          <w:rFonts w:hint="eastAsia" w:ascii="仿宋_GB2312" w:hAnsi="仿宋_GB2312" w:eastAsia="仿宋_GB2312"/>
          <w:color w:val="000000"/>
          <w:sz w:val="32"/>
        </w:rPr>
        <w:t>实施细则</w:t>
      </w:r>
      <w:r>
        <w:rPr>
          <w:rFonts w:ascii="仿宋_GB2312" w:hAnsi="仿宋_GB2312" w:eastAsia="仿宋_GB2312"/>
          <w:color w:val="000000"/>
          <w:sz w:val="32"/>
        </w:rPr>
        <w:t>自</w:t>
      </w:r>
      <w:r>
        <w:rPr>
          <w:rFonts w:hint="eastAsia" w:ascii="仿宋_GB2312" w:hAnsi="仿宋_GB2312" w:eastAsia="仿宋_GB2312"/>
          <w:color w:val="000000"/>
          <w:sz w:val="32"/>
        </w:rPr>
        <w:t>公布之日</w:t>
      </w:r>
      <w:r>
        <w:rPr>
          <w:rFonts w:ascii="仿宋_GB2312" w:hAnsi="仿宋_GB2312" w:eastAsia="仿宋_GB2312"/>
          <w:color w:val="000000"/>
          <w:sz w:val="32"/>
        </w:rPr>
        <w:t>起施行</w:t>
      </w:r>
      <w:r>
        <w:rPr>
          <w:rFonts w:hint="eastAsia" w:ascii="仿宋_GB2312" w:hAnsi="仿宋_GB2312" w:eastAsia="仿宋_GB2312"/>
          <w:color w:val="000000"/>
          <w:sz w:val="32"/>
        </w:rPr>
        <w:t>。</w:t>
      </w:r>
    </w:p>
    <w:p>
      <w:pPr>
        <w:autoSpaceDN w:val="0"/>
        <w:spacing w:line="550" w:lineRule="exact"/>
        <w:ind w:firstLine="640" w:firstLineChars="200"/>
        <w:rPr>
          <w:rFonts w:hint="eastAsia" w:ascii="仿宋_GB2312" w:hAnsi="仿宋_GB2312" w:eastAsia="仿宋_GB2312"/>
          <w:color w:val="000000"/>
          <w:sz w:val="32"/>
        </w:rPr>
      </w:pPr>
    </w:p>
    <w:p>
      <w:pPr>
        <w:autoSpaceDN w:val="0"/>
        <w:spacing w:line="55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附件：重大行政执法决定法治审核意见表</w:t>
      </w:r>
    </w:p>
    <w:p>
      <w:pPr>
        <w:autoSpaceDN w:val="0"/>
        <w:spacing w:line="550" w:lineRule="exact"/>
        <w:rPr>
          <w:rFonts w:hint="eastAsia" w:ascii="仿宋_GB2312" w:hAnsi="仿宋_GB2312" w:eastAsia="仿宋_GB2312" w:cs="仿宋_GB2312"/>
          <w:color w:val="000000"/>
          <w:sz w:val="32"/>
          <w:szCs w:val="32"/>
        </w:rPr>
      </w:pPr>
    </w:p>
    <w:p>
      <w:pPr>
        <w:autoSpaceDN w:val="0"/>
        <w:spacing w:line="550" w:lineRule="exact"/>
        <w:rPr>
          <w:rFonts w:hint="eastAsia" w:ascii="仿宋_GB2312" w:hAnsi="仿宋_GB2312" w:eastAsia="仿宋_GB2312" w:cs="仿宋_GB2312"/>
          <w:color w:val="000000"/>
          <w:sz w:val="32"/>
          <w:szCs w:val="32"/>
        </w:rPr>
      </w:pPr>
    </w:p>
    <w:p>
      <w:pPr>
        <w:autoSpaceDN w:val="0"/>
        <w:spacing w:line="550" w:lineRule="exact"/>
        <w:rPr>
          <w:rFonts w:hint="eastAsia" w:ascii="仿宋_GB2312" w:hAnsi="仿宋_GB2312" w:eastAsia="仿宋_GB2312"/>
          <w:color w:val="000000"/>
          <w:sz w:val="32"/>
        </w:rPr>
      </w:pPr>
      <w:r>
        <w:rPr>
          <w:rFonts w:hint="eastAsia" w:ascii="仿宋_GB2312" w:hAnsi="仿宋_GB2312" w:eastAsia="仿宋_GB2312" w:cs="仿宋_GB2312"/>
          <w:color w:val="000000"/>
          <w:sz w:val="32"/>
          <w:szCs w:val="32"/>
        </w:rPr>
        <w:t xml:space="preserve">                           </w:t>
      </w:r>
    </w:p>
    <w:p>
      <w:pPr>
        <w:autoSpaceDN w:val="0"/>
        <w:spacing w:line="570" w:lineRule="exact"/>
        <w:jc w:val="center"/>
      </w:pPr>
    </w:p>
    <w:p>
      <w:pPr>
        <w:autoSpaceDN w:val="0"/>
        <w:spacing w:line="570" w:lineRule="exact"/>
      </w:pPr>
    </w:p>
    <w:p>
      <w:pPr>
        <w:autoSpaceDN w:val="0"/>
        <w:spacing w:line="570" w:lineRule="exact"/>
      </w:pPr>
    </w:p>
    <w:p>
      <w:pPr>
        <w:autoSpaceDN w:val="0"/>
        <w:spacing w:line="570" w:lineRule="exact"/>
      </w:pPr>
    </w:p>
    <w:p>
      <w:pPr>
        <w:autoSpaceDN w:val="0"/>
        <w:spacing w:line="570" w:lineRule="exact"/>
      </w:pPr>
    </w:p>
    <w:p>
      <w:pPr>
        <w:autoSpaceDN w:val="0"/>
        <w:spacing w:line="570" w:lineRule="exact"/>
      </w:pPr>
    </w:p>
    <w:p>
      <w:pPr>
        <w:autoSpaceDN w:val="0"/>
        <w:spacing w:line="570" w:lineRule="exact"/>
      </w:pPr>
    </w:p>
    <w:p>
      <w:pPr>
        <w:autoSpaceDN w:val="0"/>
        <w:spacing w:line="570" w:lineRule="exact"/>
      </w:pPr>
    </w:p>
    <w:p>
      <w:pPr>
        <w:autoSpaceDN w:val="0"/>
        <w:spacing w:line="570" w:lineRule="exact"/>
      </w:pPr>
    </w:p>
    <w:p>
      <w:pPr>
        <w:autoSpaceDN w:val="0"/>
        <w:spacing w:line="570" w:lineRule="exact"/>
      </w:pPr>
    </w:p>
    <w:p>
      <w:pPr>
        <w:autoSpaceDN w:val="0"/>
        <w:spacing w:line="570" w:lineRule="exact"/>
      </w:pPr>
    </w:p>
    <w:p>
      <w:pPr>
        <w:autoSpaceDN w:val="0"/>
        <w:spacing w:line="570" w:lineRule="exact"/>
      </w:pPr>
    </w:p>
    <w:p>
      <w:pPr>
        <w:autoSpaceDN w:val="0"/>
        <w:spacing w:line="570" w:lineRule="exact"/>
      </w:pPr>
    </w:p>
    <w:p>
      <w:pPr>
        <w:autoSpaceDN w:val="0"/>
        <w:spacing w:line="570" w:lineRule="exact"/>
      </w:pPr>
    </w:p>
    <w:p>
      <w:pPr>
        <w:autoSpaceDN w:val="0"/>
        <w:spacing w:line="570" w:lineRule="exact"/>
      </w:pPr>
    </w:p>
    <w:p>
      <w:pPr>
        <w:autoSpaceDN w:val="0"/>
        <w:spacing w:line="570" w:lineRule="exact"/>
        <w:rPr>
          <w:rFonts w:hint="eastAsia"/>
        </w:rPr>
      </w:pPr>
    </w:p>
    <w:p>
      <w:pPr>
        <w:autoSpaceDN w:val="0"/>
        <w:spacing w:line="570" w:lineRule="exact"/>
        <w:rPr>
          <w:rFonts w:hint="eastAsia"/>
        </w:rPr>
      </w:pPr>
    </w:p>
    <w:p>
      <w:pPr>
        <w:autoSpaceDN w:val="0"/>
        <w:spacing w:line="570" w:lineRule="exact"/>
        <w:rPr>
          <w:rFonts w:hint="eastAsia"/>
        </w:rPr>
      </w:pPr>
    </w:p>
    <w:p>
      <w:pPr>
        <w:autoSpaceDN w:val="0"/>
        <w:spacing w:line="570" w:lineRule="exact"/>
        <w:rPr>
          <w:rFonts w:hint="eastAsia"/>
        </w:rPr>
      </w:pPr>
    </w:p>
    <w:p>
      <w:pPr>
        <w:autoSpaceDN w:val="0"/>
        <w:spacing w:line="570" w:lineRule="exact"/>
        <w:rPr>
          <w:rFonts w:hint="eastAsia"/>
        </w:rPr>
      </w:pPr>
    </w:p>
    <w:p>
      <w:pPr>
        <w:autoSpaceDN w:val="0"/>
        <w:spacing w:line="570" w:lineRule="exact"/>
        <w:rPr>
          <w:rFonts w:hint="eastAsia"/>
        </w:rPr>
      </w:pPr>
    </w:p>
    <w:p>
      <w:pPr>
        <w:autoSpaceDN w:val="0"/>
        <w:spacing w:line="570" w:lineRule="exact"/>
        <w:rPr>
          <w:rFonts w:hint="eastAsia"/>
        </w:rPr>
      </w:pPr>
    </w:p>
    <w:p>
      <w:pPr>
        <w:autoSpaceDN w:val="0"/>
        <w:spacing w:line="570" w:lineRule="exact"/>
        <w:rPr>
          <w:rFonts w:hint="eastAsia"/>
        </w:rPr>
      </w:pPr>
    </w:p>
    <w:p>
      <w:pPr>
        <w:autoSpaceDN w:val="0"/>
        <w:spacing w:line="570" w:lineRule="exact"/>
        <w:rPr>
          <w:rFonts w:hint="eastAsia"/>
        </w:rPr>
      </w:pPr>
    </w:p>
    <w:p>
      <w:pPr>
        <w:autoSpaceDN w:val="0"/>
        <w:spacing w:line="570" w:lineRule="exact"/>
        <w:rPr>
          <w:rFonts w:hint="eastAsia"/>
        </w:rPr>
      </w:pPr>
    </w:p>
    <w:p>
      <w:pPr>
        <w:autoSpaceDN w:val="0"/>
        <w:spacing w:line="570" w:lineRule="exact"/>
        <w:rPr>
          <w:rFonts w:hint="eastAsia"/>
        </w:rPr>
      </w:pPr>
    </w:p>
    <w:p>
      <w:pPr>
        <w:autoSpaceDN w:val="0"/>
        <w:spacing w:line="570" w:lineRule="exact"/>
        <w:rPr>
          <w:rFonts w:hint="eastAsia"/>
        </w:rPr>
      </w:pPr>
    </w:p>
    <w:p>
      <w:pPr>
        <w:autoSpaceDN w:val="0"/>
        <w:spacing w:line="570" w:lineRule="exact"/>
        <w:rPr>
          <w:rFonts w:hint="eastAsia"/>
        </w:rPr>
      </w:pPr>
    </w:p>
    <w:p>
      <w:pPr>
        <w:autoSpaceDN w:val="0"/>
        <w:spacing w:line="570" w:lineRule="exact"/>
        <w:rPr>
          <w:rFonts w:hint="eastAsia"/>
        </w:rPr>
      </w:pPr>
    </w:p>
    <w:p>
      <w:pPr>
        <w:autoSpaceDN w:val="0"/>
        <w:spacing w:line="570" w:lineRule="exact"/>
      </w:pPr>
    </w:p>
    <w:p>
      <w:pPr>
        <w:autoSpaceDN w:val="0"/>
        <w:spacing w:line="570" w:lineRule="exact"/>
      </w:pPr>
    </w:p>
    <w:p>
      <w:pPr>
        <w:autoSpaceDN w:val="0"/>
        <w:spacing w:line="570" w:lineRule="exact"/>
      </w:pPr>
    </w:p>
    <w:p>
      <w:pPr>
        <w:autoSpaceDN w:val="0"/>
        <w:spacing w:line="570" w:lineRule="exact"/>
      </w:pPr>
    </w:p>
    <w:p>
      <w:pPr>
        <w:autoSpaceDN w:val="0"/>
        <w:spacing w:line="570" w:lineRule="exact"/>
      </w:pPr>
    </w:p>
    <w:p>
      <w:pPr>
        <w:autoSpaceDN w:val="0"/>
        <w:spacing w:line="570" w:lineRule="exact"/>
      </w:pPr>
    </w:p>
    <w:p>
      <w:pPr>
        <w:autoSpaceDN w:val="0"/>
        <w:spacing w:line="570" w:lineRule="exact"/>
        <w:ind w:left="210" w:leftChars="100" w:right="210" w:rightChars="100"/>
        <w:rPr>
          <w:rFonts w:ascii="仿宋_GB2312" w:hAnsi="仿宋_GB2312" w:eastAsia="仿宋_GB2312" w:cs="仿宋_GB2312"/>
          <w:color w:val="000000"/>
          <w:sz w:val="32"/>
          <w:szCs w:val="32"/>
        </w:rPr>
      </w:pPr>
      <w:r>
        <w:rPr>
          <w:rFonts w:ascii="Times New Roman" w:hAnsi="Times New Roman"/>
          <w:sz w:val="28"/>
        </w:rPr>
        <w:pict>
          <v:line id="直线 5" o:spid="_x0000_s1027" o:spt="20" style="position:absolute;left:0pt;margin-left:-0.85pt;margin-top:3.4pt;height:0.05pt;width:442.5pt;z-index:251661312;mso-width-relative:page;mso-height-relative:page;" coordsize="21600,21600">
            <v:path arrowok="t"/>
            <v:fill focussize="0,0"/>
            <v:stroke/>
            <v:imagedata o:title=""/>
            <o:lock v:ext="edit"/>
          </v:line>
        </w:pict>
      </w:r>
      <w:r>
        <w:rPr>
          <w:rFonts w:ascii="Times New Roman" w:hAnsi="Times New Roman"/>
          <w:sz w:val="32"/>
        </w:rPr>
        <w:pict>
          <v:line id="直线 4" o:spid="_x0000_s1026" o:spt="20" style="position:absolute;left:0pt;margin-left:-0.85pt;margin-top:30.4pt;height:0.05pt;width:444pt;z-index:251660288;mso-width-relative:page;mso-height-relative:page;" coordsize="21600,21600">
            <v:path arrowok="t"/>
            <v:fill focussize="0,0"/>
            <v:stroke/>
            <v:imagedata o:title=""/>
            <o:lock v:ext="edit"/>
          </v:line>
        </w:pict>
      </w:r>
      <w:r>
        <w:rPr>
          <w:rFonts w:ascii="Times New Roman" w:hAnsi="Times New Roman" w:eastAsia="仿宋_GB2312"/>
          <w:sz w:val="28"/>
          <w:szCs w:val="28"/>
        </w:rPr>
        <w:t xml:space="preserve">威海市文登区交通运输局办公室        </w:t>
      </w:r>
      <w:r>
        <w:rPr>
          <w:rFonts w:hint="eastAsia" w:ascii="Times New Roman" w:hAnsi="Times New Roman" w:eastAsia="仿宋_GB2312"/>
          <w:sz w:val="28"/>
          <w:szCs w:val="28"/>
        </w:rPr>
        <w:t xml:space="preserve">     </w:t>
      </w:r>
      <w:r>
        <w:rPr>
          <w:rFonts w:ascii="Times New Roman" w:hAnsi="Times New Roman" w:eastAsia="仿宋_GB2312"/>
          <w:sz w:val="28"/>
          <w:szCs w:val="28"/>
        </w:rPr>
        <w:t xml:space="preserve"> 20</w:t>
      </w:r>
      <w:r>
        <w:rPr>
          <w:rFonts w:hint="eastAsia" w:ascii="Times New Roman" w:hAnsi="Times New Roman" w:eastAsia="仿宋_GB2312"/>
          <w:sz w:val="28"/>
          <w:szCs w:val="28"/>
        </w:rPr>
        <w:t>21</w:t>
      </w:r>
      <w:r>
        <w:rPr>
          <w:rFonts w:ascii="Times New Roman" w:hAnsi="Times New Roman" w:eastAsia="仿宋_GB2312"/>
          <w:sz w:val="28"/>
          <w:szCs w:val="28"/>
        </w:rPr>
        <w:t>年1月2</w:t>
      </w:r>
      <w:r>
        <w:rPr>
          <w:rFonts w:hint="eastAsia" w:ascii="Times New Roman" w:hAnsi="Times New Roman" w:eastAsia="仿宋_GB2312"/>
          <w:sz w:val="28"/>
          <w:szCs w:val="28"/>
        </w:rPr>
        <w:t>9</w:t>
      </w:r>
      <w:r>
        <w:rPr>
          <w:rFonts w:ascii="Times New Roman" w:hAnsi="Times New Roman" w:eastAsia="仿宋_GB2312"/>
          <w:sz w:val="28"/>
          <w:szCs w:val="28"/>
        </w:rPr>
        <w:t>日印发</w:t>
      </w:r>
      <w:r>
        <w:br w:type="page"/>
      </w:r>
    </w:p>
    <w:tbl>
      <w:tblPr>
        <w:tblStyle w:val="7"/>
        <w:tblW w:w="8804" w:type="dxa"/>
        <w:tblInd w:w="93" w:type="dxa"/>
        <w:tblLayout w:type="autofit"/>
        <w:tblCellMar>
          <w:top w:w="0" w:type="dxa"/>
          <w:left w:w="108" w:type="dxa"/>
          <w:bottom w:w="0" w:type="dxa"/>
          <w:right w:w="108" w:type="dxa"/>
        </w:tblCellMar>
      </w:tblPr>
      <w:tblGrid>
        <w:gridCol w:w="2283"/>
        <w:gridCol w:w="2897"/>
        <w:gridCol w:w="1600"/>
        <w:gridCol w:w="2024"/>
      </w:tblGrid>
      <w:tr>
        <w:tblPrEx>
          <w:tblCellMar>
            <w:top w:w="0" w:type="dxa"/>
            <w:left w:w="108" w:type="dxa"/>
            <w:bottom w:w="0" w:type="dxa"/>
            <w:right w:w="108" w:type="dxa"/>
          </w:tblCellMar>
        </w:tblPrEx>
        <w:trPr>
          <w:trHeight w:val="480" w:hRule="atLeast"/>
        </w:trPr>
        <w:tc>
          <w:tcPr>
            <w:tcW w:w="2283" w:type="dxa"/>
            <w:tcBorders>
              <w:top w:val="nil"/>
              <w:left w:val="nil"/>
              <w:bottom w:val="nil"/>
              <w:right w:val="nil"/>
            </w:tcBorders>
            <w:shd w:val="clear" w:color="auto" w:fill="auto"/>
            <w:noWrap/>
            <w:vAlign w:val="center"/>
          </w:tcPr>
          <w:p>
            <w:pPr>
              <w:widowControl/>
              <w:jc w:val="left"/>
              <w:rPr>
                <w:rFonts w:ascii="黑体" w:hAnsi="黑体" w:eastAsia="黑体" w:cs="宋体"/>
                <w:kern w:val="0"/>
                <w:sz w:val="32"/>
                <w:szCs w:val="32"/>
              </w:rPr>
            </w:pPr>
            <w:r>
              <w:rPr>
                <w:rFonts w:ascii="仿宋_GB2312" w:hAnsi="仿宋_GB2312" w:eastAsia="仿宋_GB2312" w:cs="仿宋_GB2312"/>
                <w:color w:val="000000"/>
                <w:sz w:val="32"/>
                <w:szCs w:val="32"/>
              </w:rPr>
              <w:br w:type="page"/>
            </w:r>
            <w:r>
              <w:rPr>
                <w:rFonts w:hint="eastAsia" w:ascii="黑体" w:hAnsi="黑体" w:eastAsia="黑体" w:cs="宋体"/>
                <w:kern w:val="0"/>
                <w:sz w:val="32"/>
                <w:szCs w:val="32"/>
              </w:rPr>
              <w:t>附件</w:t>
            </w:r>
          </w:p>
          <w:p>
            <w:pPr>
              <w:widowControl/>
              <w:jc w:val="left"/>
              <w:rPr>
                <w:rFonts w:ascii="黑体" w:hAnsi="黑体" w:eastAsia="黑体" w:cs="宋体"/>
                <w:kern w:val="0"/>
                <w:sz w:val="32"/>
                <w:szCs w:val="32"/>
              </w:rPr>
            </w:pPr>
          </w:p>
        </w:tc>
        <w:tc>
          <w:tcPr>
            <w:tcW w:w="2897" w:type="dxa"/>
            <w:tcBorders>
              <w:top w:val="nil"/>
              <w:left w:val="nil"/>
              <w:bottom w:val="nil"/>
              <w:right w:val="nil"/>
            </w:tcBorders>
            <w:shd w:val="clear" w:color="auto" w:fill="auto"/>
            <w:noWrap/>
            <w:vAlign w:val="center"/>
          </w:tcPr>
          <w:p>
            <w:pPr>
              <w:widowControl/>
              <w:jc w:val="left"/>
              <w:rPr>
                <w:rFonts w:ascii="宋体" w:hAnsi="宋体" w:cs="宋体"/>
                <w:kern w:val="0"/>
                <w:sz w:val="24"/>
              </w:rPr>
            </w:pPr>
          </w:p>
        </w:tc>
        <w:tc>
          <w:tcPr>
            <w:tcW w:w="1600" w:type="dxa"/>
            <w:tcBorders>
              <w:top w:val="nil"/>
              <w:left w:val="nil"/>
              <w:bottom w:val="nil"/>
              <w:right w:val="nil"/>
            </w:tcBorders>
            <w:shd w:val="clear" w:color="auto" w:fill="auto"/>
            <w:noWrap/>
            <w:vAlign w:val="center"/>
          </w:tcPr>
          <w:p>
            <w:pPr>
              <w:widowControl/>
              <w:jc w:val="left"/>
              <w:rPr>
                <w:rFonts w:ascii="宋体" w:hAnsi="宋体" w:cs="宋体"/>
                <w:kern w:val="0"/>
                <w:sz w:val="24"/>
              </w:rPr>
            </w:pPr>
          </w:p>
        </w:tc>
        <w:tc>
          <w:tcPr>
            <w:tcW w:w="2024" w:type="dxa"/>
            <w:tcBorders>
              <w:top w:val="nil"/>
              <w:left w:val="nil"/>
              <w:bottom w:val="nil"/>
              <w:right w:val="nil"/>
            </w:tcBorders>
            <w:shd w:val="clear" w:color="auto" w:fill="auto"/>
            <w:noWrap/>
            <w:vAlign w:val="center"/>
          </w:tcPr>
          <w:p>
            <w:pPr>
              <w:widowControl/>
              <w:jc w:val="left"/>
              <w:rPr>
                <w:rFonts w:ascii="宋体" w:hAnsi="宋体" w:cs="宋体"/>
                <w:kern w:val="0"/>
                <w:sz w:val="24"/>
              </w:rPr>
            </w:pPr>
          </w:p>
        </w:tc>
      </w:tr>
      <w:tr>
        <w:tblPrEx>
          <w:tblCellMar>
            <w:top w:w="0" w:type="dxa"/>
            <w:left w:w="108" w:type="dxa"/>
            <w:bottom w:w="0" w:type="dxa"/>
            <w:right w:w="108" w:type="dxa"/>
          </w:tblCellMar>
        </w:tblPrEx>
        <w:trPr>
          <w:trHeight w:val="942" w:hRule="atLeast"/>
        </w:trPr>
        <w:tc>
          <w:tcPr>
            <w:tcW w:w="8804" w:type="dxa"/>
            <w:gridSpan w:val="4"/>
            <w:tcBorders>
              <w:top w:val="nil"/>
              <w:left w:val="nil"/>
              <w:bottom w:val="nil"/>
              <w:right w:val="nil"/>
            </w:tcBorders>
            <w:shd w:val="clear" w:color="auto" w:fill="auto"/>
            <w:noWrap/>
            <w:vAlign w:val="center"/>
          </w:tcPr>
          <w:p>
            <w:pPr>
              <w:widowControl/>
              <w:jc w:val="center"/>
              <w:rPr>
                <w:rFonts w:ascii="方正小标宋简体" w:hAnsi="黑体" w:eastAsia="方正小标宋简体" w:cs="宋体"/>
                <w:bCs/>
                <w:kern w:val="0"/>
                <w:sz w:val="44"/>
                <w:szCs w:val="44"/>
              </w:rPr>
            </w:pPr>
            <w:r>
              <w:rPr>
                <w:rFonts w:hint="eastAsia" w:ascii="方正小标宋简体" w:hAnsi="黑体" w:eastAsia="方正小标宋简体" w:cs="宋体"/>
                <w:bCs/>
                <w:kern w:val="0"/>
                <w:sz w:val="44"/>
                <w:szCs w:val="44"/>
              </w:rPr>
              <w:t>重大行政执法决定法制审核意见表</w:t>
            </w:r>
          </w:p>
        </w:tc>
      </w:tr>
      <w:tr>
        <w:tblPrEx>
          <w:tblCellMar>
            <w:top w:w="0" w:type="dxa"/>
            <w:left w:w="108" w:type="dxa"/>
            <w:bottom w:w="0" w:type="dxa"/>
            <w:right w:w="108" w:type="dxa"/>
          </w:tblCellMar>
        </w:tblPrEx>
        <w:trPr>
          <w:trHeight w:val="859" w:hRule="atLeast"/>
        </w:trPr>
        <w:tc>
          <w:tcPr>
            <w:tcW w:w="228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8"/>
                <w:szCs w:val="28"/>
              </w:rPr>
            </w:pPr>
            <w:r>
              <w:rPr>
                <w:rFonts w:hint="eastAsia" w:ascii="宋体" w:hAnsi="宋体" w:cs="宋体"/>
                <w:kern w:val="0"/>
                <w:sz w:val="28"/>
                <w:szCs w:val="28"/>
              </w:rPr>
              <w:t>当事人信息</w:t>
            </w:r>
          </w:p>
        </w:tc>
        <w:tc>
          <w:tcPr>
            <w:tcW w:w="6521" w:type="dxa"/>
            <w:gridSpan w:val="3"/>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宋体" w:hAnsi="宋体" w:cs="宋体"/>
                <w:kern w:val="0"/>
                <w:sz w:val="24"/>
              </w:rPr>
            </w:pPr>
            <w:r>
              <w:rPr>
                <w:rFonts w:hint="eastAsia" w:ascii="宋体" w:hAnsi="宋体" w:cs="宋体"/>
                <w:kern w:val="0"/>
                <w:sz w:val="24"/>
              </w:rPr>
              <w:t>　</w:t>
            </w:r>
          </w:p>
        </w:tc>
      </w:tr>
      <w:tr>
        <w:tblPrEx>
          <w:tblCellMar>
            <w:top w:w="0" w:type="dxa"/>
            <w:left w:w="108" w:type="dxa"/>
            <w:bottom w:w="0" w:type="dxa"/>
            <w:right w:w="108" w:type="dxa"/>
          </w:tblCellMar>
        </w:tblPrEx>
        <w:trPr>
          <w:trHeight w:val="777" w:hRule="atLeast"/>
        </w:trPr>
        <w:tc>
          <w:tcPr>
            <w:tcW w:w="228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8"/>
                <w:szCs w:val="28"/>
              </w:rPr>
            </w:pPr>
            <w:r>
              <w:rPr>
                <w:rFonts w:hint="eastAsia" w:ascii="宋体" w:hAnsi="宋体" w:cs="宋体"/>
                <w:kern w:val="0"/>
                <w:sz w:val="28"/>
                <w:szCs w:val="28"/>
              </w:rPr>
              <w:t>案由</w:t>
            </w:r>
          </w:p>
        </w:tc>
        <w:tc>
          <w:tcPr>
            <w:tcW w:w="6521" w:type="dxa"/>
            <w:gridSpan w:val="3"/>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宋体" w:hAnsi="宋体" w:cs="宋体"/>
                <w:kern w:val="0"/>
                <w:sz w:val="24"/>
              </w:rPr>
            </w:pPr>
            <w:r>
              <w:rPr>
                <w:rFonts w:hint="eastAsia" w:ascii="宋体" w:hAnsi="宋体" w:cs="宋体"/>
                <w:kern w:val="0"/>
                <w:sz w:val="24"/>
              </w:rPr>
              <w:t>　</w:t>
            </w:r>
          </w:p>
        </w:tc>
      </w:tr>
      <w:tr>
        <w:tblPrEx>
          <w:tblCellMar>
            <w:top w:w="0" w:type="dxa"/>
            <w:left w:w="108" w:type="dxa"/>
            <w:bottom w:w="0" w:type="dxa"/>
            <w:right w:w="108" w:type="dxa"/>
          </w:tblCellMar>
        </w:tblPrEx>
        <w:trPr>
          <w:trHeight w:val="720" w:hRule="atLeast"/>
        </w:trPr>
        <w:tc>
          <w:tcPr>
            <w:tcW w:w="228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8"/>
                <w:szCs w:val="28"/>
              </w:rPr>
            </w:pPr>
            <w:r>
              <w:rPr>
                <w:rFonts w:hint="eastAsia" w:ascii="宋体" w:hAnsi="宋体" w:cs="宋体"/>
                <w:kern w:val="0"/>
                <w:sz w:val="28"/>
                <w:szCs w:val="28"/>
              </w:rPr>
              <w:t>案号</w:t>
            </w:r>
          </w:p>
        </w:tc>
        <w:tc>
          <w:tcPr>
            <w:tcW w:w="6521" w:type="dxa"/>
            <w:gridSpan w:val="3"/>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宋体" w:hAnsi="宋体" w:cs="宋体"/>
                <w:kern w:val="0"/>
                <w:sz w:val="24"/>
              </w:rPr>
            </w:pPr>
            <w:r>
              <w:rPr>
                <w:rFonts w:hint="eastAsia" w:ascii="宋体" w:hAnsi="宋体" w:cs="宋体"/>
                <w:kern w:val="0"/>
                <w:sz w:val="24"/>
              </w:rPr>
              <w:t>　</w:t>
            </w:r>
          </w:p>
        </w:tc>
      </w:tr>
      <w:tr>
        <w:tblPrEx>
          <w:tblCellMar>
            <w:top w:w="0" w:type="dxa"/>
            <w:left w:w="108" w:type="dxa"/>
            <w:bottom w:w="0" w:type="dxa"/>
            <w:right w:w="108" w:type="dxa"/>
          </w:tblCellMar>
        </w:tblPrEx>
        <w:trPr>
          <w:trHeight w:val="882" w:hRule="atLeast"/>
        </w:trPr>
        <w:tc>
          <w:tcPr>
            <w:tcW w:w="228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8"/>
                <w:szCs w:val="28"/>
              </w:rPr>
            </w:pPr>
            <w:r>
              <w:rPr>
                <w:rFonts w:hint="eastAsia" w:ascii="宋体" w:hAnsi="宋体" w:cs="宋体"/>
                <w:kern w:val="0"/>
                <w:sz w:val="28"/>
                <w:szCs w:val="28"/>
              </w:rPr>
              <w:t>承办机构</w:t>
            </w:r>
          </w:p>
        </w:tc>
        <w:tc>
          <w:tcPr>
            <w:tcW w:w="2897"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4"/>
              </w:rPr>
            </w:pPr>
            <w:r>
              <w:rPr>
                <w:rFonts w:hint="eastAsia" w:ascii="宋体" w:hAnsi="宋体" w:cs="宋体"/>
                <w:kern w:val="0"/>
                <w:sz w:val="24"/>
              </w:rPr>
              <w:t>　</w:t>
            </w:r>
          </w:p>
        </w:tc>
        <w:tc>
          <w:tcPr>
            <w:tcW w:w="160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8"/>
                <w:szCs w:val="28"/>
              </w:rPr>
            </w:pPr>
            <w:r>
              <w:rPr>
                <w:rFonts w:hint="eastAsia" w:ascii="宋体" w:hAnsi="宋体" w:cs="宋体"/>
                <w:kern w:val="0"/>
                <w:sz w:val="28"/>
                <w:szCs w:val="28"/>
              </w:rPr>
              <w:t>报送时间</w:t>
            </w:r>
          </w:p>
        </w:tc>
        <w:tc>
          <w:tcPr>
            <w:tcW w:w="2024"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4"/>
              </w:rPr>
            </w:pPr>
            <w:r>
              <w:rPr>
                <w:rFonts w:hint="eastAsia" w:ascii="宋体" w:hAnsi="宋体" w:cs="宋体"/>
                <w:kern w:val="0"/>
                <w:sz w:val="24"/>
              </w:rPr>
              <w:t>　</w:t>
            </w:r>
          </w:p>
        </w:tc>
      </w:tr>
      <w:tr>
        <w:tblPrEx>
          <w:tblCellMar>
            <w:top w:w="0" w:type="dxa"/>
            <w:left w:w="108" w:type="dxa"/>
            <w:bottom w:w="0" w:type="dxa"/>
            <w:right w:w="108" w:type="dxa"/>
          </w:tblCellMar>
        </w:tblPrEx>
        <w:trPr>
          <w:trHeight w:val="840" w:hRule="atLeast"/>
        </w:trPr>
        <w:tc>
          <w:tcPr>
            <w:tcW w:w="228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8"/>
                <w:szCs w:val="28"/>
              </w:rPr>
            </w:pPr>
            <w:r>
              <w:rPr>
                <w:rFonts w:hint="eastAsia" w:ascii="宋体" w:hAnsi="宋体" w:cs="宋体"/>
                <w:kern w:val="0"/>
                <w:sz w:val="28"/>
                <w:szCs w:val="28"/>
              </w:rPr>
              <w:t>执法人员信息</w:t>
            </w:r>
          </w:p>
        </w:tc>
        <w:tc>
          <w:tcPr>
            <w:tcW w:w="6521" w:type="dxa"/>
            <w:gridSpan w:val="3"/>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宋体" w:hAnsi="宋体" w:cs="宋体"/>
                <w:kern w:val="0"/>
                <w:sz w:val="24"/>
              </w:rPr>
            </w:pPr>
            <w:r>
              <w:rPr>
                <w:rFonts w:hint="eastAsia" w:ascii="宋体" w:hAnsi="宋体" w:cs="宋体"/>
                <w:kern w:val="0"/>
                <w:sz w:val="24"/>
              </w:rPr>
              <w:t>　</w:t>
            </w:r>
          </w:p>
        </w:tc>
      </w:tr>
      <w:tr>
        <w:tblPrEx>
          <w:tblCellMar>
            <w:top w:w="0" w:type="dxa"/>
            <w:left w:w="108" w:type="dxa"/>
            <w:bottom w:w="0" w:type="dxa"/>
            <w:right w:w="108" w:type="dxa"/>
          </w:tblCellMar>
        </w:tblPrEx>
        <w:trPr>
          <w:trHeight w:val="923" w:hRule="atLeast"/>
        </w:trPr>
        <w:tc>
          <w:tcPr>
            <w:tcW w:w="228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8"/>
                <w:szCs w:val="28"/>
              </w:rPr>
            </w:pPr>
            <w:r>
              <w:rPr>
                <w:rFonts w:hint="eastAsia" w:ascii="宋体" w:hAnsi="宋体" w:cs="宋体"/>
                <w:kern w:val="0"/>
                <w:sz w:val="28"/>
                <w:szCs w:val="28"/>
              </w:rPr>
              <w:t>案件基本情况</w:t>
            </w:r>
          </w:p>
        </w:tc>
        <w:tc>
          <w:tcPr>
            <w:tcW w:w="6521" w:type="dxa"/>
            <w:gridSpan w:val="3"/>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宋体" w:hAnsi="宋体" w:cs="宋体"/>
                <w:kern w:val="0"/>
                <w:sz w:val="24"/>
              </w:rPr>
            </w:pPr>
            <w:r>
              <w:rPr>
                <w:rFonts w:hint="eastAsia" w:ascii="宋体" w:hAnsi="宋体" w:cs="宋体"/>
                <w:kern w:val="0"/>
                <w:sz w:val="24"/>
              </w:rPr>
              <w:t>　</w:t>
            </w:r>
          </w:p>
        </w:tc>
      </w:tr>
      <w:tr>
        <w:tblPrEx>
          <w:tblCellMar>
            <w:top w:w="0" w:type="dxa"/>
            <w:left w:w="108" w:type="dxa"/>
            <w:bottom w:w="0" w:type="dxa"/>
            <w:right w:w="108" w:type="dxa"/>
          </w:tblCellMar>
        </w:tblPrEx>
        <w:trPr>
          <w:trHeight w:val="660" w:hRule="atLeast"/>
        </w:trPr>
        <w:tc>
          <w:tcPr>
            <w:tcW w:w="228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8"/>
                <w:szCs w:val="28"/>
              </w:rPr>
            </w:pPr>
            <w:r>
              <w:rPr>
                <w:rFonts w:hint="eastAsia" w:ascii="宋体" w:hAnsi="宋体" w:cs="宋体"/>
                <w:kern w:val="0"/>
                <w:sz w:val="28"/>
                <w:szCs w:val="28"/>
              </w:rPr>
              <w:t>审核环节</w:t>
            </w:r>
          </w:p>
        </w:tc>
        <w:tc>
          <w:tcPr>
            <w:tcW w:w="6521" w:type="dxa"/>
            <w:gridSpan w:val="3"/>
            <w:tcBorders>
              <w:top w:val="single" w:color="auto" w:sz="4" w:space="0"/>
              <w:left w:val="nil"/>
              <w:bottom w:val="single" w:color="auto" w:sz="4" w:space="0"/>
              <w:right w:val="single" w:color="000000" w:sz="4" w:space="0"/>
            </w:tcBorders>
            <w:shd w:val="clear" w:color="auto" w:fill="auto"/>
            <w:noWrap/>
            <w:vAlign w:val="center"/>
          </w:tcPr>
          <w:p>
            <w:pPr>
              <w:widowControl/>
              <w:jc w:val="left"/>
              <w:rPr>
                <w:rFonts w:ascii="宋体" w:hAnsi="宋体" w:cs="宋体"/>
                <w:kern w:val="0"/>
                <w:sz w:val="28"/>
                <w:szCs w:val="28"/>
              </w:rPr>
            </w:pPr>
            <w:r>
              <w:rPr>
                <w:rFonts w:hint="eastAsia" w:ascii="宋体" w:hAnsi="宋体" w:cs="宋体"/>
                <w:kern w:val="0"/>
                <w:sz w:val="28"/>
                <w:szCs w:val="28"/>
              </w:rPr>
              <w:t xml:space="preserve">  立案</w:t>
            </w:r>
            <w:r>
              <w:rPr>
                <w:rFonts w:ascii="Wingdings" w:hAnsi="Wingdings" w:cs="宋体"/>
                <w:kern w:val="0"/>
                <w:sz w:val="28"/>
                <w:szCs w:val="28"/>
              </w:rPr>
              <w:t></w:t>
            </w:r>
            <w:r>
              <w:rPr>
                <w:rFonts w:hint="eastAsia" w:ascii="宋体" w:hAnsi="宋体" w:cs="宋体"/>
                <w:kern w:val="0"/>
                <w:sz w:val="28"/>
                <w:szCs w:val="28"/>
              </w:rPr>
              <w:t xml:space="preserve">     调查</w:t>
            </w:r>
            <w:r>
              <w:rPr>
                <w:rFonts w:ascii="Wingdings" w:hAnsi="Wingdings" w:cs="宋体"/>
                <w:kern w:val="0"/>
                <w:sz w:val="28"/>
                <w:szCs w:val="28"/>
              </w:rPr>
              <w:t></w:t>
            </w:r>
            <w:r>
              <w:rPr>
                <w:rFonts w:hint="eastAsia" w:ascii="宋体" w:hAnsi="宋体" w:cs="宋体"/>
                <w:kern w:val="0"/>
                <w:sz w:val="28"/>
                <w:szCs w:val="28"/>
              </w:rPr>
              <w:t xml:space="preserve">     决定</w:t>
            </w:r>
            <w:r>
              <w:rPr>
                <w:rFonts w:ascii="Wingdings" w:hAnsi="Wingdings" w:cs="宋体"/>
                <w:kern w:val="0"/>
                <w:sz w:val="28"/>
                <w:szCs w:val="28"/>
              </w:rPr>
              <w:t></w:t>
            </w:r>
            <w:r>
              <w:rPr>
                <w:rFonts w:hint="eastAsia" w:ascii="宋体" w:hAnsi="宋体" w:cs="宋体"/>
                <w:kern w:val="0"/>
                <w:sz w:val="28"/>
                <w:szCs w:val="28"/>
              </w:rPr>
              <w:t xml:space="preserve">     其他</w:t>
            </w:r>
            <w:r>
              <w:rPr>
                <w:rFonts w:ascii="Wingdings" w:hAnsi="Wingdings" w:cs="宋体"/>
                <w:kern w:val="0"/>
                <w:sz w:val="28"/>
                <w:szCs w:val="28"/>
              </w:rPr>
              <w:t></w:t>
            </w:r>
          </w:p>
        </w:tc>
      </w:tr>
      <w:tr>
        <w:tblPrEx>
          <w:tblCellMar>
            <w:top w:w="0" w:type="dxa"/>
            <w:left w:w="108" w:type="dxa"/>
            <w:bottom w:w="0" w:type="dxa"/>
            <w:right w:w="108" w:type="dxa"/>
          </w:tblCellMar>
        </w:tblPrEx>
        <w:trPr>
          <w:trHeight w:val="1036" w:hRule="atLeast"/>
        </w:trPr>
        <w:tc>
          <w:tcPr>
            <w:tcW w:w="228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8"/>
                <w:szCs w:val="28"/>
              </w:rPr>
            </w:pPr>
            <w:r>
              <w:rPr>
                <w:rFonts w:hint="eastAsia" w:ascii="宋体" w:hAnsi="宋体" w:cs="宋体"/>
                <w:kern w:val="0"/>
                <w:sz w:val="28"/>
                <w:szCs w:val="28"/>
              </w:rPr>
              <w:t>承办机构意见</w:t>
            </w:r>
          </w:p>
        </w:tc>
        <w:tc>
          <w:tcPr>
            <w:tcW w:w="6521" w:type="dxa"/>
            <w:gridSpan w:val="3"/>
            <w:tcBorders>
              <w:top w:val="single" w:color="auto" w:sz="4" w:space="0"/>
              <w:left w:val="nil"/>
              <w:bottom w:val="single" w:color="auto" w:sz="4" w:space="0"/>
              <w:right w:val="single" w:color="000000" w:sz="4" w:space="0"/>
            </w:tcBorders>
            <w:shd w:val="clear" w:color="auto" w:fill="auto"/>
            <w:noWrap/>
            <w:vAlign w:val="bottom"/>
          </w:tcPr>
          <w:p>
            <w:pPr>
              <w:widowControl/>
              <w:jc w:val="left"/>
              <w:rPr>
                <w:rFonts w:ascii="宋体" w:hAnsi="宋体" w:cs="宋体"/>
                <w:kern w:val="0"/>
                <w:sz w:val="24"/>
              </w:rPr>
            </w:pPr>
            <w:r>
              <w:rPr>
                <w:rFonts w:hint="eastAsia" w:ascii="宋体" w:hAnsi="宋体" w:cs="宋体"/>
                <w:kern w:val="0"/>
                <w:sz w:val="24"/>
              </w:rPr>
              <w:t xml:space="preserve">       </w:t>
            </w:r>
            <w:r>
              <w:rPr>
                <w:rFonts w:hint="eastAsia" w:ascii="宋体" w:hAnsi="宋体" w:cs="宋体"/>
                <w:kern w:val="0"/>
                <w:sz w:val="28"/>
                <w:szCs w:val="28"/>
              </w:rPr>
              <w:t xml:space="preserve">    负责人：              年    月    日 </w:t>
            </w:r>
          </w:p>
        </w:tc>
      </w:tr>
      <w:tr>
        <w:tblPrEx>
          <w:tblCellMar>
            <w:top w:w="0" w:type="dxa"/>
            <w:left w:w="108" w:type="dxa"/>
            <w:bottom w:w="0" w:type="dxa"/>
            <w:right w:w="108" w:type="dxa"/>
          </w:tblCellMar>
        </w:tblPrEx>
        <w:trPr>
          <w:trHeight w:val="1071" w:hRule="atLeast"/>
        </w:trPr>
        <w:tc>
          <w:tcPr>
            <w:tcW w:w="228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8"/>
                <w:szCs w:val="28"/>
              </w:rPr>
            </w:pPr>
            <w:r>
              <w:rPr>
                <w:rFonts w:hint="eastAsia" w:ascii="宋体" w:hAnsi="宋体" w:cs="宋体"/>
                <w:kern w:val="0"/>
                <w:sz w:val="28"/>
                <w:szCs w:val="28"/>
              </w:rPr>
              <w:t>报送审核材料</w:t>
            </w:r>
          </w:p>
        </w:tc>
        <w:tc>
          <w:tcPr>
            <w:tcW w:w="6521" w:type="dxa"/>
            <w:gridSpan w:val="3"/>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宋体" w:hAnsi="宋体" w:cs="宋体"/>
                <w:kern w:val="0"/>
                <w:sz w:val="24"/>
              </w:rPr>
            </w:pPr>
            <w:r>
              <w:rPr>
                <w:rFonts w:hint="eastAsia" w:ascii="宋体" w:hAnsi="宋体" w:cs="宋体"/>
                <w:kern w:val="0"/>
                <w:sz w:val="24"/>
              </w:rPr>
              <w:t>　</w:t>
            </w:r>
          </w:p>
        </w:tc>
      </w:tr>
      <w:tr>
        <w:tblPrEx>
          <w:tblCellMar>
            <w:top w:w="0" w:type="dxa"/>
            <w:left w:w="108" w:type="dxa"/>
            <w:bottom w:w="0" w:type="dxa"/>
            <w:right w:w="108" w:type="dxa"/>
          </w:tblCellMar>
        </w:tblPrEx>
        <w:trPr>
          <w:trHeight w:val="1140" w:hRule="atLeast"/>
        </w:trPr>
        <w:tc>
          <w:tcPr>
            <w:tcW w:w="228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8"/>
                <w:szCs w:val="28"/>
              </w:rPr>
            </w:pPr>
            <w:r>
              <w:rPr>
                <w:rFonts w:hint="eastAsia" w:ascii="宋体" w:hAnsi="宋体" w:cs="宋体"/>
                <w:kern w:val="0"/>
                <w:sz w:val="28"/>
                <w:szCs w:val="28"/>
              </w:rPr>
              <w:t>法制机构审核意见</w:t>
            </w:r>
          </w:p>
        </w:tc>
        <w:tc>
          <w:tcPr>
            <w:tcW w:w="6521" w:type="dxa"/>
            <w:gridSpan w:val="3"/>
            <w:tcBorders>
              <w:top w:val="single" w:color="auto" w:sz="4" w:space="0"/>
              <w:left w:val="nil"/>
              <w:bottom w:val="single" w:color="auto" w:sz="4" w:space="0"/>
              <w:right w:val="single" w:color="000000" w:sz="4" w:space="0"/>
            </w:tcBorders>
            <w:shd w:val="clear" w:color="auto" w:fill="auto"/>
            <w:noWrap/>
            <w:vAlign w:val="bottom"/>
          </w:tcPr>
          <w:p>
            <w:pPr>
              <w:widowControl/>
              <w:jc w:val="left"/>
              <w:rPr>
                <w:rFonts w:ascii="宋体" w:hAnsi="宋体" w:cs="宋体"/>
                <w:kern w:val="0"/>
                <w:sz w:val="24"/>
              </w:rPr>
            </w:pPr>
            <w:r>
              <w:rPr>
                <w:rFonts w:hint="eastAsia" w:ascii="宋体" w:hAnsi="宋体" w:cs="宋体"/>
                <w:kern w:val="0"/>
                <w:sz w:val="24"/>
              </w:rPr>
              <w:t xml:space="preserve">           </w:t>
            </w:r>
            <w:r>
              <w:rPr>
                <w:rFonts w:hint="eastAsia" w:ascii="宋体" w:hAnsi="宋体" w:cs="宋体"/>
                <w:kern w:val="0"/>
                <w:sz w:val="28"/>
                <w:szCs w:val="28"/>
              </w:rPr>
              <w:t xml:space="preserve">审核人：               年    月   日 </w:t>
            </w:r>
          </w:p>
        </w:tc>
      </w:tr>
      <w:tr>
        <w:tblPrEx>
          <w:tblCellMar>
            <w:top w:w="0" w:type="dxa"/>
            <w:left w:w="108" w:type="dxa"/>
            <w:bottom w:w="0" w:type="dxa"/>
            <w:right w:w="108" w:type="dxa"/>
          </w:tblCellMar>
        </w:tblPrEx>
        <w:trPr>
          <w:trHeight w:val="1099" w:hRule="atLeast"/>
        </w:trPr>
        <w:tc>
          <w:tcPr>
            <w:tcW w:w="228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kern w:val="0"/>
                <w:sz w:val="28"/>
                <w:szCs w:val="28"/>
              </w:rPr>
            </w:pPr>
            <w:r>
              <w:rPr>
                <w:rFonts w:hint="eastAsia" w:ascii="宋体" w:hAnsi="宋体" w:cs="宋体"/>
                <w:kern w:val="0"/>
                <w:sz w:val="28"/>
                <w:szCs w:val="28"/>
              </w:rPr>
              <w:t>分管领导意见</w:t>
            </w:r>
          </w:p>
        </w:tc>
        <w:tc>
          <w:tcPr>
            <w:tcW w:w="6521" w:type="dxa"/>
            <w:gridSpan w:val="3"/>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宋体" w:hAnsi="宋体" w:cs="宋体"/>
                <w:kern w:val="0"/>
                <w:sz w:val="24"/>
              </w:rPr>
            </w:pPr>
            <w:r>
              <w:rPr>
                <w:rFonts w:hint="eastAsia" w:ascii="宋体" w:hAnsi="宋体" w:cs="宋体"/>
                <w:kern w:val="0"/>
                <w:sz w:val="24"/>
              </w:rPr>
              <w:t>　</w:t>
            </w:r>
          </w:p>
        </w:tc>
      </w:tr>
    </w:tbl>
    <w:p>
      <w:pPr>
        <w:spacing w:line="20" w:lineRule="exact"/>
        <w:ind w:right="1050" w:rightChars="500"/>
        <w:jc w:val="right"/>
        <w:rPr>
          <w:rFonts w:ascii="Times New Roman" w:hAnsi="Times New Roman" w:eastAsia="仿宋_GB2312"/>
          <w:sz w:val="32"/>
          <w:szCs w:val="32"/>
        </w:rPr>
      </w:pPr>
    </w:p>
    <w:sectPr>
      <w:footerReference r:id="rId3" w:type="default"/>
      <w:pgSz w:w="11906" w:h="16838"/>
      <w:pgMar w:top="2211" w:right="1531" w:bottom="1871" w:left="1531" w:header="851" w:footer="1559"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2049" o:spid="_x0000_s2049"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snapToGrid w:val="0"/>
                  <w:rPr>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- 2 -</w:t>
                </w:r>
                <w:r>
                  <w:rPr>
                    <w:rFonts w:hint="eastAsia" w:ascii="宋体" w:hAnsi="宋体" w:cs="宋体"/>
                    <w:sz w:val="28"/>
                    <w:szCs w:val="28"/>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zgzZDE3MDdiOWJkNTJjYzc2MGY1YTU0MTU3YjJiMGUifQ=="/>
  </w:docVars>
  <w:rsids>
    <w:rsidRoot w:val="00F449BE"/>
    <w:rsid w:val="0000526A"/>
    <w:rsid w:val="00134732"/>
    <w:rsid w:val="00143798"/>
    <w:rsid w:val="001D4E77"/>
    <w:rsid w:val="004C4A15"/>
    <w:rsid w:val="00804BB7"/>
    <w:rsid w:val="00932AD6"/>
    <w:rsid w:val="00AB6F5E"/>
    <w:rsid w:val="00B917D6"/>
    <w:rsid w:val="00D6797C"/>
    <w:rsid w:val="00ED7D85"/>
    <w:rsid w:val="00F449BE"/>
    <w:rsid w:val="010408D4"/>
    <w:rsid w:val="014406DD"/>
    <w:rsid w:val="01B41B25"/>
    <w:rsid w:val="01E32ED4"/>
    <w:rsid w:val="023F442C"/>
    <w:rsid w:val="029E5481"/>
    <w:rsid w:val="02AA349D"/>
    <w:rsid w:val="02AB7851"/>
    <w:rsid w:val="02AE1769"/>
    <w:rsid w:val="02D536AD"/>
    <w:rsid w:val="038652BE"/>
    <w:rsid w:val="04702AB2"/>
    <w:rsid w:val="04B81662"/>
    <w:rsid w:val="05424CD5"/>
    <w:rsid w:val="05F72023"/>
    <w:rsid w:val="06845F43"/>
    <w:rsid w:val="06E0661F"/>
    <w:rsid w:val="073500CB"/>
    <w:rsid w:val="07F62072"/>
    <w:rsid w:val="08046FB7"/>
    <w:rsid w:val="080E2A7E"/>
    <w:rsid w:val="08CB6E57"/>
    <w:rsid w:val="09BE346A"/>
    <w:rsid w:val="0A1240B7"/>
    <w:rsid w:val="0AD978E8"/>
    <w:rsid w:val="0BB0171E"/>
    <w:rsid w:val="0C534577"/>
    <w:rsid w:val="0D0A3BAD"/>
    <w:rsid w:val="0D5776E6"/>
    <w:rsid w:val="0DE97F71"/>
    <w:rsid w:val="0E025E7E"/>
    <w:rsid w:val="0E691560"/>
    <w:rsid w:val="0F420745"/>
    <w:rsid w:val="10845893"/>
    <w:rsid w:val="10E837A2"/>
    <w:rsid w:val="114B7F66"/>
    <w:rsid w:val="11CD28F7"/>
    <w:rsid w:val="11E91A6C"/>
    <w:rsid w:val="12133D68"/>
    <w:rsid w:val="12335E84"/>
    <w:rsid w:val="12484CDA"/>
    <w:rsid w:val="126E1667"/>
    <w:rsid w:val="12963DB4"/>
    <w:rsid w:val="13607058"/>
    <w:rsid w:val="14DB0D22"/>
    <w:rsid w:val="154C072B"/>
    <w:rsid w:val="15BF3FAC"/>
    <w:rsid w:val="15F1733D"/>
    <w:rsid w:val="16124881"/>
    <w:rsid w:val="16445A69"/>
    <w:rsid w:val="17AA17DE"/>
    <w:rsid w:val="1957323A"/>
    <w:rsid w:val="19596607"/>
    <w:rsid w:val="1A4A415A"/>
    <w:rsid w:val="1B7E5080"/>
    <w:rsid w:val="1B8702CC"/>
    <w:rsid w:val="1B9A4287"/>
    <w:rsid w:val="1C05033D"/>
    <w:rsid w:val="1C5F45C9"/>
    <w:rsid w:val="1CA17726"/>
    <w:rsid w:val="1D6E61C0"/>
    <w:rsid w:val="1DB37615"/>
    <w:rsid w:val="1DC15888"/>
    <w:rsid w:val="1EB02EED"/>
    <w:rsid w:val="1EB30404"/>
    <w:rsid w:val="1EC335F5"/>
    <w:rsid w:val="1F4A0ABE"/>
    <w:rsid w:val="1FF359BA"/>
    <w:rsid w:val="206C7251"/>
    <w:rsid w:val="21211E33"/>
    <w:rsid w:val="2214539D"/>
    <w:rsid w:val="22941235"/>
    <w:rsid w:val="22E007D1"/>
    <w:rsid w:val="23376E2B"/>
    <w:rsid w:val="237C40EE"/>
    <w:rsid w:val="23EC020F"/>
    <w:rsid w:val="23EC5C01"/>
    <w:rsid w:val="240F7884"/>
    <w:rsid w:val="24C34F68"/>
    <w:rsid w:val="25416726"/>
    <w:rsid w:val="25C43D44"/>
    <w:rsid w:val="26C02FAA"/>
    <w:rsid w:val="27744ED0"/>
    <w:rsid w:val="278C2E8B"/>
    <w:rsid w:val="29421053"/>
    <w:rsid w:val="29F20EDB"/>
    <w:rsid w:val="2CC61F09"/>
    <w:rsid w:val="2D031E45"/>
    <w:rsid w:val="2D092258"/>
    <w:rsid w:val="2DFD0751"/>
    <w:rsid w:val="2E0B6A02"/>
    <w:rsid w:val="2F001473"/>
    <w:rsid w:val="2F204E73"/>
    <w:rsid w:val="300C6E0F"/>
    <w:rsid w:val="30BE6584"/>
    <w:rsid w:val="30E063A9"/>
    <w:rsid w:val="31044D7F"/>
    <w:rsid w:val="3163274D"/>
    <w:rsid w:val="320916ED"/>
    <w:rsid w:val="3381258F"/>
    <w:rsid w:val="34080E13"/>
    <w:rsid w:val="34743016"/>
    <w:rsid w:val="34767731"/>
    <w:rsid w:val="34B25B52"/>
    <w:rsid w:val="34EB439D"/>
    <w:rsid w:val="34FD0037"/>
    <w:rsid w:val="3533229A"/>
    <w:rsid w:val="35494BB0"/>
    <w:rsid w:val="35FB0256"/>
    <w:rsid w:val="36182E41"/>
    <w:rsid w:val="361F7F0C"/>
    <w:rsid w:val="363A0D6E"/>
    <w:rsid w:val="371D7F4D"/>
    <w:rsid w:val="37595034"/>
    <w:rsid w:val="38E16D25"/>
    <w:rsid w:val="39544DDF"/>
    <w:rsid w:val="3A335F29"/>
    <w:rsid w:val="3AB85438"/>
    <w:rsid w:val="3C353088"/>
    <w:rsid w:val="3C4E1AEA"/>
    <w:rsid w:val="3CE035E7"/>
    <w:rsid w:val="3E0D2B28"/>
    <w:rsid w:val="3E4826A4"/>
    <w:rsid w:val="3F294C5F"/>
    <w:rsid w:val="3F43035F"/>
    <w:rsid w:val="3FD278DC"/>
    <w:rsid w:val="40EB21B1"/>
    <w:rsid w:val="41537598"/>
    <w:rsid w:val="421D2B53"/>
    <w:rsid w:val="429F2822"/>
    <w:rsid w:val="42D1594B"/>
    <w:rsid w:val="434B5451"/>
    <w:rsid w:val="439C37CD"/>
    <w:rsid w:val="43E35067"/>
    <w:rsid w:val="43F01019"/>
    <w:rsid w:val="461E512D"/>
    <w:rsid w:val="4741690C"/>
    <w:rsid w:val="47BC34F0"/>
    <w:rsid w:val="47BC51E6"/>
    <w:rsid w:val="482F61B0"/>
    <w:rsid w:val="48F243AF"/>
    <w:rsid w:val="491D2DBD"/>
    <w:rsid w:val="49A70FA0"/>
    <w:rsid w:val="4A7E72D4"/>
    <w:rsid w:val="4AAB45D2"/>
    <w:rsid w:val="4AF272C1"/>
    <w:rsid w:val="4BA953CF"/>
    <w:rsid w:val="4C40081C"/>
    <w:rsid w:val="4C7B29DC"/>
    <w:rsid w:val="4D1626EB"/>
    <w:rsid w:val="4DA14251"/>
    <w:rsid w:val="4EDF0835"/>
    <w:rsid w:val="4F2B12C6"/>
    <w:rsid w:val="4FCF4AB2"/>
    <w:rsid w:val="4FF17CBE"/>
    <w:rsid w:val="50142FB9"/>
    <w:rsid w:val="502F27DA"/>
    <w:rsid w:val="50590C22"/>
    <w:rsid w:val="515D072D"/>
    <w:rsid w:val="53B45827"/>
    <w:rsid w:val="540F50CD"/>
    <w:rsid w:val="54A11660"/>
    <w:rsid w:val="55B35D5A"/>
    <w:rsid w:val="56374D4E"/>
    <w:rsid w:val="57283F42"/>
    <w:rsid w:val="5759175E"/>
    <w:rsid w:val="57640E21"/>
    <w:rsid w:val="578B6E30"/>
    <w:rsid w:val="57913A6A"/>
    <w:rsid w:val="57C948C6"/>
    <w:rsid w:val="58045DE2"/>
    <w:rsid w:val="585702F5"/>
    <w:rsid w:val="5880580E"/>
    <w:rsid w:val="5B2D2AF0"/>
    <w:rsid w:val="5B644DB4"/>
    <w:rsid w:val="5CF5415B"/>
    <w:rsid w:val="5E19245B"/>
    <w:rsid w:val="5E3A343D"/>
    <w:rsid w:val="5E6B5B73"/>
    <w:rsid w:val="5FD95DB0"/>
    <w:rsid w:val="5FE33362"/>
    <w:rsid w:val="61134CBF"/>
    <w:rsid w:val="6115091D"/>
    <w:rsid w:val="61C42969"/>
    <w:rsid w:val="62772D5D"/>
    <w:rsid w:val="629F78FC"/>
    <w:rsid w:val="639A2733"/>
    <w:rsid w:val="646728E2"/>
    <w:rsid w:val="64D2349C"/>
    <w:rsid w:val="65482F62"/>
    <w:rsid w:val="65746D03"/>
    <w:rsid w:val="65C045E2"/>
    <w:rsid w:val="667E5CA2"/>
    <w:rsid w:val="66C054AF"/>
    <w:rsid w:val="67150FB7"/>
    <w:rsid w:val="68642BD2"/>
    <w:rsid w:val="68684E5B"/>
    <w:rsid w:val="68BE7CD8"/>
    <w:rsid w:val="69B91BB0"/>
    <w:rsid w:val="6A586267"/>
    <w:rsid w:val="6A701682"/>
    <w:rsid w:val="6A8756E7"/>
    <w:rsid w:val="6B2B169C"/>
    <w:rsid w:val="6B447671"/>
    <w:rsid w:val="6CAA6201"/>
    <w:rsid w:val="6D2E0364"/>
    <w:rsid w:val="6D66197D"/>
    <w:rsid w:val="6E080722"/>
    <w:rsid w:val="6E1A2B17"/>
    <w:rsid w:val="6EDB64C9"/>
    <w:rsid w:val="6F1722CF"/>
    <w:rsid w:val="6F361348"/>
    <w:rsid w:val="6FD6372D"/>
    <w:rsid w:val="70440A42"/>
    <w:rsid w:val="70932C6D"/>
    <w:rsid w:val="712040AE"/>
    <w:rsid w:val="71286686"/>
    <w:rsid w:val="71E64FA1"/>
    <w:rsid w:val="72741CFB"/>
    <w:rsid w:val="72B7779B"/>
    <w:rsid w:val="72D24CE2"/>
    <w:rsid w:val="72DF773E"/>
    <w:rsid w:val="72ED17D0"/>
    <w:rsid w:val="73053CF5"/>
    <w:rsid w:val="734D6692"/>
    <w:rsid w:val="736377BB"/>
    <w:rsid w:val="741C30F0"/>
    <w:rsid w:val="74612548"/>
    <w:rsid w:val="746D3537"/>
    <w:rsid w:val="74760F37"/>
    <w:rsid w:val="74EF3434"/>
    <w:rsid w:val="75D72438"/>
    <w:rsid w:val="75DB7FCD"/>
    <w:rsid w:val="760B10F3"/>
    <w:rsid w:val="77382A90"/>
    <w:rsid w:val="78EF5B78"/>
    <w:rsid w:val="79053D4E"/>
    <w:rsid w:val="7ADA5659"/>
    <w:rsid w:val="7B3F4445"/>
    <w:rsid w:val="7CAE1CDB"/>
    <w:rsid w:val="7CE730C1"/>
    <w:rsid w:val="7D8460BD"/>
    <w:rsid w:val="7F2B6D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3">
    <w:name w:val="Body Text Indent"/>
    <w:basedOn w:val="1"/>
    <w:next w:val="2"/>
    <w:qFormat/>
    <w:uiPriority w:val="0"/>
    <w:pPr>
      <w:spacing w:line="560" w:lineRule="exact"/>
      <w:ind w:firstLine="640" w:firstLineChars="200"/>
    </w:pPr>
    <w:rPr>
      <w:rFonts w:eastAsia="仿宋_GB2312" w:cs="宋体"/>
      <w:sz w:val="32"/>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Body Text First Indent 2"/>
    <w:basedOn w:val="3"/>
    <w:qFormat/>
    <w:uiPriority w:val="0"/>
    <w:pPr>
      <w:ind w:firstLine="420"/>
    </w:pPr>
  </w:style>
  <w:style w:type="paragraph" w:customStyle="1" w:styleId="9">
    <w:name w:val="Char Char Char"/>
    <w:basedOn w:val="1"/>
    <w:qFormat/>
    <w:uiPriority w:val="0"/>
    <w:rPr>
      <w:rFonts w:ascii="Times New Roman" w:hAnsi="Times New Roman"/>
      <w:szCs w:val="20"/>
    </w:rPr>
  </w:style>
  <w:style w:type="paragraph" w:customStyle="1" w:styleId="10">
    <w:name w:val=" Char Char Char"/>
    <w:basedOn w:val="1"/>
    <w:qFormat/>
    <w:uiPriority w:val="0"/>
    <w:rPr>
      <w:rFonts w:ascii="Times New Roman" w:hAnsi="Times New Roman"/>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customShpInfo spid="_x0000_s1027"/>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1576</Words>
  <Characters>1580</Characters>
  <Lines>14</Lines>
  <Paragraphs>4</Paragraphs>
  <TotalTime>16</TotalTime>
  <ScaleCrop>false</ScaleCrop>
  <LinksUpToDate>false</LinksUpToDate>
  <CharactersWithSpaces>1743</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2021-01-29T08:13:00Z</dcterms:created>
  <dc:creator>Administrator</dc:creator>
  <cp:lastModifiedBy>Administrator</cp:lastModifiedBy>
  <cp:lastPrinted>2019-02-28T02:04:00Z</cp:lastPrinted>
  <dcterms:modified xsi:type="dcterms:W3CDTF">2022-11-14T08:16:38Z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0C20E8653D3D440C970A8909AA353CF0</vt:lpwstr>
  </property>
</Properties>
</file>