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32" w:firstLineChars="200"/>
        <w:jc w:val="right"/>
        <w:rPr>
          <w:rFonts w:ascii="仿宋_GB2312" w:eastAsia="仿宋_GB2312"/>
        </w:rPr>
      </w:pPr>
      <w:bookmarkStart w:id="0" w:name="_GoBack"/>
      <w:bookmarkEnd w:id="0"/>
    </w:p>
    <w:p>
      <w:pPr>
        <w:jc w:val="center"/>
        <w:rPr>
          <w:rFonts w:ascii="仿宋_GB2312" w:eastAsia="仿宋_GB2312"/>
        </w:rPr>
      </w:pPr>
    </w:p>
    <w:p>
      <w:pPr>
        <w:jc w:val="center"/>
        <w:rPr>
          <w:rFonts w:ascii="仿宋_GB2312" w:eastAsia="仿宋_GB2312"/>
        </w:rPr>
      </w:pPr>
    </w:p>
    <w:p>
      <w:pPr>
        <w:jc w:val="center"/>
        <w:rPr>
          <w:rFonts w:ascii="方正小标宋简体"/>
          <w:spacing w:val="62"/>
          <w:sz w:val="74"/>
        </w:rPr>
      </w:pPr>
      <w:r>
        <w:rPr>
          <w:rFonts w:hint="eastAsia" w:ascii="方正小标宋简体"/>
          <w:spacing w:val="62"/>
          <w:sz w:val="74"/>
        </w:rPr>
        <w:t>2019年度</w:t>
      </w:r>
    </w:p>
    <w:p>
      <w:pPr>
        <w:jc w:val="center"/>
        <w:rPr>
          <w:rFonts w:ascii="方正小标宋简体"/>
          <w:spacing w:val="62"/>
          <w:sz w:val="74"/>
        </w:rPr>
      </w:pPr>
      <w:r>
        <w:rPr>
          <w:rFonts w:hint="eastAsia" w:ascii="方正小标宋简体"/>
          <w:color w:val="000000" w:themeColor="text1"/>
          <w:spacing w:val="62"/>
          <w:sz w:val="74"/>
          <w:highlight w:val="none"/>
          <w:lang w:eastAsia="zh-CN"/>
          <w14:textFill>
            <w14:solidFill>
              <w14:schemeClr w14:val="tx1"/>
            </w14:solidFill>
          </w14:textFill>
        </w:rPr>
        <w:t>威海市文登区物价局</w:t>
      </w:r>
      <w:r>
        <w:rPr>
          <w:rFonts w:hint="eastAsia" w:ascii="方正小标宋简体"/>
          <w:spacing w:val="62"/>
          <w:sz w:val="74"/>
        </w:rPr>
        <w:t>部门决算</w:t>
      </w:r>
    </w:p>
    <w:p>
      <w:pPr>
        <w:jc w:val="center"/>
        <w:rPr>
          <w:rFonts w:ascii="楷体_GB2312" w:eastAsia="楷体_GB2312"/>
          <w:b/>
          <w:sz w:val="42"/>
        </w:rPr>
      </w:pPr>
    </w:p>
    <w:p>
      <w:pPr>
        <w:jc w:val="center"/>
        <w:rPr>
          <w:rFonts w:ascii="楷体_GB2312" w:eastAsia="楷体_GB2312"/>
          <w:b/>
          <w:sz w:val="42"/>
        </w:rPr>
      </w:pPr>
    </w:p>
    <w:p>
      <w:pPr>
        <w:rPr>
          <w:rFonts w:ascii="仿宋_GB2312" w:eastAsia="仿宋_GB2312"/>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pPr>
        <w:spacing w:line="580" w:lineRule="exact"/>
        <w:ind w:firstLine="316" w:firstLineChars="100"/>
        <w:rPr>
          <w:rFonts w:ascii="黑体" w:hAnsi="黑体" w:eastAsia="黑体"/>
        </w:rPr>
      </w:pPr>
      <w:r>
        <w:rPr>
          <w:rFonts w:hint="eastAsia" w:ascii="黑体" w:hAnsi="黑体" w:eastAsia="黑体"/>
        </w:rPr>
        <w:t>第一部分  部门概况</w:t>
      </w:r>
    </w:p>
    <w:p>
      <w:pPr>
        <w:spacing w:line="580" w:lineRule="exact"/>
        <w:ind w:firstLine="632" w:firstLineChars="200"/>
        <w:rPr>
          <w:rFonts w:ascii="仿宋_GB2312" w:eastAsia="仿宋_GB2312"/>
        </w:rPr>
      </w:pPr>
      <w:r>
        <w:rPr>
          <w:rFonts w:hint="eastAsia" w:ascii="仿宋_GB2312" w:eastAsia="仿宋_GB2312"/>
        </w:rPr>
        <w:t>一、部门职责</w:t>
      </w:r>
    </w:p>
    <w:p>
      <w:pPr>
        <w:spacing w:line="580" w:lineRule="exact"/>
        <w:ind w:firstLine="632" w:firstLineChars="200"/>
        <w:rPr>
          <w:rFonts w:ascii="仿宋_GB2312" w:eastAsia="仿宋_GB2312"/>
        </w:rPr>
      </w:pPr>
      <w:r>
        <w:rPr>
          <w:rFonts w:hint="eastAsia" w:ascii="仿宋_GB2312" w:eastAsia="仿宋_GB2312"/>
        </w:rPr>
        <w:t>二、机构设置</w:t>
      </w:r>
    </w:p>
    <w:p>
      <w:pPr>
        <w:spacing w:line="580" w:lineRule="exact"/>
        <w:ind w:firstLine="316" w:firstLineChars="100"/>
        <w:rPr>
          <w:rFonts w:ascii="黑体" w:hAnsi="黑体" w:eastAsia="黑体"/>
        </w:rPr>
      </w:pPr>
      <w:r>
        <w:rPr>
          <w:rFonts w:hint="eastAsia" w:ascii="黑体" w:hAnsi="黑体" w:eastAsia="黑体"/>
        </w:rPr>
        <w:t>第二部分  2019年度部门决算表</w:t>
      </w:r>
    </w:p>
    <w:p>
      <w:pPr>
        <w:spacing w:line="580" w:lineRule="exact"/>
        <w:ind w:firstLine="632" w:firstLineChars="200"/>
        <w:rPr>
          <w:rFonts w:ascii="仿宋_GB2312" w:eastAsia="仿宋_GB2312"/>
        </w:rPr>
      </w:pPr>
      <w:r>
        <w:rPr>
          <w:rFonts w:hint="eastAsia" w:ascii="仿宋_GB2312" w:eastAsia="仿宋_GB2312"/>
        </w:rPr>
        <w:t>一、收入支出决算总表</w:t>
      </w:r>
    </w:p>
    <w:p>
      <w:pPr>
        <w:spacing w:line="580" w:lineRule="exact"/>
        <w:ind w:firstLine="632" w:firstLineChars="200"/>
        <w:rPr>
          <w:rFonts w:ascii="仿宋_GB2312" w:eastAsia="仿宋_GB2312"/>
        </w:rPr>
      </w:pPr>
      <w:r>
        <w:rPr>
          <w:rFonts w:hint="eastAsia" w:ascii="仿宋_GB2312" w:eastAsia="仿宋_GB2312"/>
        </w:rPr>
        <w:t>二、收入决算表</w:t>
      </w:r>
    </w:p>
    <w:p>
      <w:pPr>
        <w:spacing w:line="580" w:lineRule="exact"/>
        <w:ind w:firstLine="632" w:firstLineChars="200"/>
        <w:rPr>
          <w:rFonts w:ascii="仿宋_GB2312" w:eastAsia="仿宋_GB2312"/>
        </w:rPr>
      </w:pPr>
      <w:r>
        <w:rPr>
          <w:rFonts w:hint="eastAsia" w:ascii="仿宋_GB2312" w:eastAsia="仿宋_GB2312"/>
        </w:rPr>
        <w:t>三、支出决算表</w:t>
      </w:r>
    </w:p>
    <w:p>
      <w:pPr>
        <w:spacing w:line="580" w:lineRule="exact"/>
        <w:ind w:firstLine="632" w:firstLineChars="200"/>
        <w:rPr>
          <w:rFonts w:ascii="仿宋_GB2312" w:eastAsia="仿宋_GB2312"/>
        </w:rPr>
      </w:pPr>
      <w:r>
        <w:rPr>
          <w:rFonts w:hint="eastAsia" w:ascii="仿宋_GB2312" w:eastAsia="仿宋_GB2312"/>
        </w:rPr>
        <w:t>四、财政拨款收入支出决算总表</w:t>
      </w:r>
    </w:p>
    <w:p>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pPr>
        <w:spacing w:line="580" w:lineRule="exact"/>
        <w:ind w:firstLine="632" w:firstLineChars="200"/>
        <w:rPr>
          <w:rFonts w:ascii="仿宋_GB2312" w:eastAsia="仿宋_GB2312"/>
        </w:rPr>
      </w:pPr>
      <w:r>
        <w:rPr>
          <w:rFonts w:hint="eastAsia" w:ascii="仿宋_GB2312" w:eastAsia="仿宋_GB2312"/>
        </w:rPr>
        <w:t>一、收入支出决算总体情况说明</w:t>
      </w:r>
    </w:p>
    <w:p>
      <w:pPr>
        <w:spacing w:line="580" w:lineRule="exact"/>
        <w:ind w:firstLine="632" w:firstLineChars="200"/>
        <w:rPr>
          <w:rFonts w:ascii="仿宋_GB2312" w:eastAsia="仿宋_GB2312"/>
        </w:rPr>
      </w:pPr>
      <w:r>
        <w:rPr>
          <w:rFonts w:hint="eastAsia" w:ascii="仿宋_GB2312" w:eastAsia="仿宋_GB2312"/>
        </w:rPr>
        <w:t>二、收入决算情况说明</w:t>
      </w:r>
    </w:p>
    <w:p>
      <w:pPr>
        <w:spacing w:line="580" w:lineRule="exact"/>
        <w:ind w:firstLine="632" w:firstLineChars="200"/>
        <w:rPr>
          <w:rFonts w:ascii="仿宋_GB2312" w:eastAsia="仿宋_GB2312"/>
        </w:rPr>
      </w:pPr>
      <w:r>
        <w:rPr>
          <w:rFonts w:hint="eastAsia" w:ascii="仿宋_GB2312" w:eastAsia="仿宋_GB2312"/>
        </w:rPr>
        <w:t>三、支出决算情况说明</w:t>
      </w:r>
    </w:p>
    <w:p>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pPr>
        <w:spacing w:line="580" w:lineRule="exact"/>
        <w:ind w:firstLine="632" w:firstLineChars="200"/>
        <w:rPr>
          <w:rFonts w:ascii="仿宋_GB2312" w:eastAsia="仿宋_GB2312"/>
        </w:rPr>
      </w:pPr>
      <w:r>
        <w:rPr>
          <w:rFonts w:hint="eastAsia" w:ascii="仿宋_GB2312" w:eastAsia="仿宋_GB2312"/>
        </w:rPr>
        <w:t>九、重要事项情况说明</w:t>
      </w:r>
    </w:p>
    <w:p>
      <w:pPr>
        <w:spacing w:line="580" w:lineRule="exact"/>
        <w:ind w:firstLine="316" w:firstLineChars="100"/>
        <w:rPr>
          <w:rFonts w:ascii="黑体" w:hAnsi="黑体" w:eastAsia="黑体"/>
        </w:rPr>
      </w:pPr>
      <w:r>
        <w:rPr>
          <w:rFonts w:hint="eastAsia" w:ascii="黑体" w:hAnsi="黑体" w:eastAsia="黑体"/>
        </w:rPr>
        <w:t>第四部分  名词解释</w:t>
      </w:r>
    </w:p>
    <w:p>
      <w:pPr>
        <w:spacing w:line="580" w:lineRule="exact"/>
        <w:ind w:firstLine="316" w:firstLineChars="100"/>
        <w:rPr>
          <w:rFonts w:ascii="黑体" w:hAnsi="黑体" w:eastAsia="黑体"/>
        </w:rPr>
      </w:pPr>
      <w:r>
        <w:rPr>
          <w:rFonts w:hint="eastAsia" w:ascii="黑体" w:hAnsi="黑体" w:eastAsia="黑体"/>
        </w:rPr>
        <w:t xml:space="preserve">第五部分  附件  </w:t>
      </w: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第一部分</w:t>
      </w:r>
    </w:p>
    <w:p>
      <w:pPr>
        <w:jc w:val="center"/>
        <w:rPr>
          <w:rFonts w:ascii="方正小标宋简体" w:eastAsia="仿宋" w:cs="仿宋"/>
          <w:spacing w:val="60"/>
          <w:sz w:val="42"/>
          <w:szCs w:val="32"/>
        </w:rPr>
      </w:pPr>
    </w:p>
    <w:p>
      <w:pPr>
        <w:jc w:val="center"/>
        <w:rPr>
          <w:rFonts w:ascii="方正小标宋简体" w:eastAsia="仿宋" w:cs="仿宋"/>
          <w:spacing w:val="60"/>
          <w:sz w:val="48"/>
          <w:szCs w:val="32"/>
        </w:rPr>
      </w:pPr>
      <w:r>
        <w:rPr>
          <w:rFonts w:hint="eastAsia" w:ascii="方正小标宋简体" w:eastAsia="仿宋" w:cs="仿宋"/>
          <w:spacing w:val="60"/>
          <w:sz w:val="48"/>
          <w:szCs w:val="32"/>
        </w:rPr>
        <w:t>部门概况</w:t>
      </w:r>
    </w:p>
    <w:p>
      <w:pPr>
        <w:jc w:val="center"/>
        <w:rPr>
          <w:rFonts w:ascii="仿宋_GB2312" w:eastAsia="仿宋" w:cs="仿宋"/>
          <w:szCs w:val="32"/>
        </w:rPr>
        <w:sectPr>
          <w:headerReference r:id="rId3" w:type="default"/>
          <w:footerReference r:id="rId4" w:type="default"/>
          <w:pgSz w:w="11906" w:h="16838"/>
          <w:pgMar w:top="1701" w:right="1531" w:bottom="1701" w:left="1531" w:header="0" w:footer="1418" w:gutter="0"/>
          <w:cols w:space="720" w:num="1"/>
          <w:docGrid w:type="linesAndChars" w:linePitch="610" w:charSpace="-849"/>
        </w:sectPr>
      </w:pPr>
    </w:p>
    <w:p>
      <w:pPr>
        <w:ind w:firstLine="632" w:firstLineChars="200"/>
        <w:rPr>
          <w:rFonts w:ascii="黑体" w:hAnsi="黑体" w:eastAsia="黑体"/>
        </w:rPr>
      </w:pPr>
      <w:r>
        <w:rPr>
          <w:rFonts w:hint="eastAsia" w:ascii="黑体" w:hAnsi="黑体" w:eastAsia="黑体"/>
        </w:rPr>
        <w:t>一、部门职责</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xml:space="preserve">（一）贯彻执行国家、省、威海市价格工作方针、政策和法律法规；起草价格方面的规范性文件草案；拟订价格工作规划和价格改革方案并组织实施。 </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（二）研究提出全市价格总水平调控目标和政策建议并组织实施；承担运用价格政策杠杆引导资源配置，稳定市场价格总水平的责任。</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（三）按照省定价目录规定的定价权限和具体适用范围，制定和调整省、威海市委托本级人民政府管理的实行政府指导价、政府定价的商品和服务价格。</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（四）制定和调整省、威海市委托本级人民政府管理的行政性事业性收费标准；负责组织实施行政性事业性收费许可证制度；参与申报行政性事业性收费立项和收费标准审核工作。</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（五）组织实施并监督指导全市重要商品的成本调查和政府制定价格的成本监审工作；负责全市重要商品和服务社会平均成本的调查、测算、审核工作。</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（六）负责全市市场价格的监测、预警和综合分析，建立全市价格信息网络，发布市场价格信息，组织实施价格干预措施；负责价格调节基金的征收、管理和使用。</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（七）负责全市涉案物品价格鉴定工作；负责管理价格评估机构资质和价格评估人员执业资格的有关工作。</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八）承担维护市场价格秩序的责任，负责反价格垄断及其他不正当价格行为的执法工作。组织实施价格监督检查，依法对各类价格和收费违法行为实施行政处罚；承担相关行政复议和行政应诉工作；协调处理价格和收费争议；指导经营者、中介机构及行业组织的价格自律工作。</w:t>
      </w:r>
    </w:p>
    <w:p>
      <w:pPr>
        <w:snapToGrid w:val="0"/>
        <w:spacing w:line="0" w:lineRule="atLeast"/>
        <w:ind w:firstLine="541" w:firstLineChars="171"/>
        <w:rPr>
          <w:rFonts w:hint="eastAsia" w:ascii="仿宋_GB2312" w:hAnsi="宋体" w:eastAsia="仿宋_GB2312" w:cs="Courier New"/>
          <w:sz w:val="32"/>
          <w:szCs w:val="32"/>
        </w:rPr>
      </w:pPr>
      <w:r>
        <w:rPr>
          <w:rFonts w:hint="eastAsia" w:ascii="仿宋_GB2312" w:hAnsi="宋体" w:eastAsia="仿宋_GB2312" w:cs="Courier New"/>
          <w:sz w:val="32"/>
          <w:szCs w:val="32"/>
        </w:rPr>
        <w:t> （九）承办市委、市政府交办的其他事项。</w:t>
      </w:r>
    </w:p>
    <w:p>
      <w:pPr>
        <w:ind w:firstLine="632" w:firstLineChars="200"/>
        <w:rPr>
          <w:rFonts w:ascii="黑体" w:hAnsi="黑体" w:eastAsia="黑体"/>
        </w:rPr>
      </w:pPr>
      <w:r>
        <w:rPr>
          <w:rFonts w:hint="eastAsia" w:ascii="黑体" w:hAnsi="黑体" w:eastAsia="黑体"/>
        </w:rPr>
        <w:t>二、机构设置</w:t>
      </w:r>
    </w:p>
    <w:p>
      <w:pPr>
        <w:ind w:firstLine="632" w:firstLineChars="200"/>
        <w:rPr>
          <w:rFonts w:hint="eastAsia" w:ascii="黑体" w:eastAsia="仿宋_GB2312"/>
          <w:b/>
          <w:sz w:val="48"/>
          <w:szCs w:val="48"/>
          <w:highlight w:val="none"/>
          <w:lang w:eastAsia="zh-CN"/>
        </w:rPr>
      </w:pPr>
      <w:r>
        <w:rPr>
          <w:rFonts w:hint="eastAsia" w:ascii="仿宋_GB2312" w:hAnsi="宋体" w:eastAsia="仿宋_GB2312" w:cs="Courier New"/>
          <w:sz w:val="32"/>
          <w:szCs w:val="32"/>
        </w:rPr>
        <w:t>从决算单位构成看，</w:t>
      </w:r>
      <w:r>
        <w:rPr>
          <w:rFonts w:hint="eastAsia" w:ascii="仿宋_GB2312" w:hAnsi="宋体" w:eastAsia="仿宋_GB2312" w:cs="Courier New"/>
          <w:sz w:val="32"/>
          <w:szCs w:val="32"/>
          <w:lang w:eastAsia="zh-CN"/>
        </w:rPr>
        <w:t>威海市文登区物价局</w:t>
      </w:r>
      <w:r>
        <w:rPr>
          <w:rFonts w:hint="eastAsia" w:ascii="仿宋_GB2312" w:hAnsi="宋体" w:eastAsia="仿宋_GB2312" w:cs="Courier New"/>
          <w:sz w:val="32"/>
          <w:szCs w:val="32"/>
        </w:rPr>
        <w:t>部门决算</w:t>
      </w:r>
      <w:r>
        <w:rPr>
          <w:rFonts w:hint="eastAsia" w:ascii="仿宋_GB2312" w:hAnsi="宋体" w:eastAsia="仿宋_GB2312" w:cs="Courier New"/>
          <w:sz w:val="32"/>
          <w:szCs w:val="32"/>
          <w:highlight w:val="none"/>
          <w:lang w:eastAsia="zh-CN"/>
        </w:rPr>
        <w:t>包括：局本级</w:t>
      </w:r>
      <w:r>
        <w:rPr>
          <w:rFonts w:hint="eastAsia" w:ascii="仿宋_GB2312" w:hAnsi="宋体" w:eastAsia="仿宋_GB2312" w:cs="Courier New"/>
          <w:sz w:val="32"/>
          <w:szCs w:val="32"/>
          <w:highlight w:val="none"/>
        </w:rPr>
        <w:t>决算</w:t>
      </w:r>
      <w:r>
        <w:rPr>
          <w:rFonts w:hint="eastAsia" w:ascii="仿宋_GB2312" w:hAnsi="宋体" w:eastAsia="仿宋_GB2312" w:cs="Courier New"/>
          <w:sz w:val="32"/>
          <w:szCs w:val="32"/>
          <w:highlight w:val="none"/>
          <w:lang w:eastAsia="zh-CN"/>
        </w:rPr>
        <w:t>。</w:t>
      </w:r>
    </w:p>
    <w:p>
      <w:pPr>
        <w:jc w:val="center"/>
        <w:rPr>
          <w:rFonts w:ascii="方正小标宋简体" w:eastAsia="方正小标宋简体"/>
          <w:sz w:val="42"/>
        </w:rPr>
      </w:pPr>
    </w:p>
    <w:p>
      <w:pPr>
        <w:ind w:firstLine="536" w:firstLineChars="100"/>
        <w:rPr>
          <w:rFonts w:ascii="方正小标宋简体" w:eastAsia="仿宋" w:cs="仿宋"/>
          <w:spacing w:val="60"/>
          <w:sz w:val="42"/>
          <w:szCs w:val="3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第二部分</w:t>
      </w:r>
    </w:p>
    <w:p>
      <w:pPr>
        <w:ind w:firstLine="536" w:firstLineChars="100"/>
        <w:rPr>
          <w:rFonts w:ascii="方正小标宋简体" w:eastAsia="仿宋" w:cs="仿宋"/>
          <w:spacing w:val="60"/>
          <w:sz w:val="42"/>
          <w:szCs w:val="32"/>
        </w:rPr>
      </w:pPr>
    </w:p>
    <w:p>
      <w:pPr>
        <w:ind w:firstLine="1608" w:firstLineChars="300"/>
        <w:rPr>
          <w:rFonts w:ascii="方正小标宋简体" w:eastAsia="仿宋" w:cs="仿宋"/>
          <w:spacing w:val="60"/>
          <w:sz w:val="42"/>
          <w:szCs w:val="32"/>
        </w:rPr>
        <w:sectPr>
          <w:pgSz w:w="11906" w:h="16838"/>
          <w:pgMar w:top="1701" w:right="1531" w:bottom="1701" w:left="1531" w:header="0" w:footer="1418" w:gutter="0"/>
          <w:cols w:space="720" w:num="1"/>
          <w:docGrid w:type="linesAndChars" w:linePitch="610" w:charSpace="-849"/>
        </w:sectPr>
      </w:pPr>
      <w:r>
        <w:rPr>
          <w:rFonts w:hint="eastAsia" w:ascii="方正小标宋简体" w:eastAsia="仿宋" w:cs="仿宋"/>
          <w:spacing w:val="60"/>
          <w:sz w:val="42"/>
          <w:szCs w:val="32"/>
        </w:rPr>
        <w:t>2019年度部门决算表</w:t>
      </w:r>
    </w:p>
    <w:p>
      <w:pPr>
        <w:jc w:val="center"/>
        <w:rPr>
          <w:rFonts w:ascii="仿宋" w:hAnsi="仿宋" w:eastAsia="仿宋" w:cs="仿宋"/>
          <w:sz w:val="44"/>
          <w:szCs w:val="44"/>
        </w:rPr>
      </w:pPr>
      <w:r>
        <w:rPr>
          <w:rFonts w:hint="eastAsia" w:ascii="仿宋" w:hAnsi="仿宋" w:eastAsia="仿宋" w:cs="仿宋"/>
          <w:sz w:val="44"/>
          <w:szCs w:val="44"/>
        </w:rPr>
        <w:t>收入支出决算总表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公开01表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8819" w:type="dxa"/>
        <w:jc w:val="center"/>
        <w:tblLayout w:type="fixed"/>
        <w:tblCellMar>
          <w:top w:w="0" w:type="dxa"/>
          <w:left w:w="108" w:type="dxa"/>
          <w:bottom w:w="0" w:type="dxa"/>
          <w:right w:w="108" w:type="dxa"/>
        </w:tblCellMar>
      </w:tblPr>
      <w:tblGrid>
        <w:gridCol w:w="2879"/>
        <w:gridCol w:w="714"/>
        <w:gridCol w:w="1017"/>
        <w:gridCol w:w="2229"/>
        <w:gridCol w:w="714"/>
        <w:gridCol w:w="1266"/>
      </w:tblGrid>
      <w:tr>
        <w:tblPrEx>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收 入</w:t>
            </w:r>
          </w:p>
        </w:tc>
        <w:tc>
          <w:tcPr>
            <w:tcW w:w="4209" w:type="dxa"/>
            <w:gridSpan w:val="3"/>
            <w:tcBorders>
              <w:top w:val="single" w:color="auto" w:sz="4" w:space="0"/>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支 出</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 目</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项目（按功能分类）</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1</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266"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22"/>
                <w:szCs w:val="22"/>
                <w:lang w:val="en-US" w:eastAsia="zh-CN"/>
              </w:rPr>
              <w:t>205.58</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一、一般公共服务支出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173.7</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hAnsi="Times New Roman" w:eastAsia="仿宋_GB2312" w:cs="Times New Roman"/>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二、外交支出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三、国防支出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32</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四、公共安全支出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33</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五、教育支出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34</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六、科学技术支出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35</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七、文化体育与传媒支出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36</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八、社会保障和就业支出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37</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14.18</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九、医疗卫生与计划生育支出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38</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7.31</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十、节能环保支出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39</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十一、城乡社区支出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40</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十二、农林水支出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41</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十三、交通运输支出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十四、资源勘探信息等支出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十五、商业服务业等支出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十六、金融支出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十七、援助其他地区支出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十八、国土海洋气象等支出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十九、住房保障支出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10.38</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二十、粮油物资储备支出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49</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二十一、其他支出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二十二、债务还本支出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hAnsi="Times New Roman" w:eastAsia="仿宋_GB2312" w:cs="Times New Roman"/>
                <w:sz w:val="18"/>
                <w:szCs w:val="18"/>
              </w:rPr>
            </w:pPr>
            <w:r>
              <w:rPr>
                <w:rFonts w:hint="eastAsia" w:ascii="仿宋_GB2312" w:hAnsi="Times New Roman" w:eastAsia="仿宋_GB2312" w:cs="Times New Roman"/>
                <w:sz w:val="18"/>
                <w:szCs w:val="18"/>
              </w:rPr>
              <w:t>二十三、债务付息支出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205.58</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本年支出合计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205.58</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结余分配</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年末结转和结余</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hAnsi="Times New Roman" w:eastAsia="仿宋_GB2312" w:cs="Times New Roman"/>
                <w:kern w:val="2"/>
                <w:sz w:val="22"/>
                <w:szCs w:val="22"/>
                <w:lang w:val="en-US" w:eastAsia="zh-CN" w:bidi="ar-SA"/>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22"/>
                <w:szCs w:val="22"/>
                <w:lang w:val="en-US" w:eastAsia="zh-CN"/>
              </w:rPr>
              <w:t>205.58</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205.58</w:t>
            </w:r>
          </w:p>
        </w:tc>
      </w:tr>
    </w:tbl>
    <w:p>
      <w:pPr>
        <w:ind w:firstLine="88" w:firstLineChars="50"/>
        <w:rPr>
          <w:rFonts w:hint="eastAsia" w:ascii="仿宋_GB2312" w:hAnsi="宋体" w:eastAsia="仿宋_GB2312" w:cs="Times New Roman"/>
          <w:sz w:val="18"/>
          <w:szCs w:val="18"/>
        </w:rPr>
        <w:sectPr>
          <w:pgSz w:w="11906" w:h="16838"/>
          <w:pgMar w:top="1701" w:right="1531" w:bottom="1701" w:left="1531" w:header="0" w:footer="1418" w:gutter="0"/>
          <w:cols w:space="720" w:num="1"/>
          <w:docGrid w:type="linesAndChars" w:linePitch="610" w:charSpace="-849"/>
        </w:sectPr>
      </w:pPr>
      <w:r>
        <w:rPr>
          <w:rFonts w:hint="eastAsia" w:ascii="仿宋_GB2312" w:hAnsi="宋体" w:eastAsia="仿宋_GB2312"/>
          <w:sz w:val="18"/>
          <w:szCs w:val="18"/>
        </w:rPr>
        <w:t>注：本表反映部门本年度的总收支和年末结转结余情况。</w:t>
      </w:r>
      <w:r>
        <w:rPr>
          <w:rFonts w:hint="eastAsia" w:ascii="仿宋_GB2312" w:hAnsi="宋体" w:eastAsia="仿宋_GB2312" w:cs="Times New Roman"/>
          <w:sz w:val="18"/>
          <w:szCs w:val="18"/>
        </w:rPr>
        <w:t>数据为四舍五入计算结果，导致报表合计项与分项之和存在尾数差额，特此说明</w:t>
      </w:r>
    </w:p>
    <w:p>
      <w:pPr>
        <w:ind w:firstLine="88" w:firstLineChars="50"/>
        <w:rPr>
          <w:rFonts w:ascii="楷体_GB2312" w:eastAsia="楷体_GB2312"/>
          <w:sz w:val="18"/>
          <w:szCs w:val="18"/>
        </w:rPr>
      </w:pPr>
    </w:p>
    <w:p>
      <w:pPr>
        <w:rPr>
          <w:rFonts w:ascii="楷体_GB2312" w:eastAsia="楷体_GB2312"/>
          <w:sz w:val="28"/>
          <w:szCs w:val="28"/>
        </w:rPr>
      </w:pPr>
    </w:p>
    <w:p>
      <w:pPr>
        <w:jc w:val="center"/>
        <w:rPr>
          <w:rFonts w:ascii="仿宋" w:hAnsi="仿宋" w:eastAsia="仿宋" w:cs="仿宋"/>
          <w:sz w:val="44"/>
          <w:szCs w:val="44"/>
        </w:rPr>
      </w:pPr>
      <w:r>
        <w:rPr>
          <w:rFonts w:hint="eastAsia" w:ascii="仿宋" w:hAnsi="仿宋" w:eastAsia="仿宋" w:cs="仿宋"/>
          <w:sz w:val="44"/>
          <w:szCs w:val="44"/>
        </w:rPr>
        <w:t>收入决算表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公开02表 </w:t>
      </w:r>
    </w:p>
    <w:p>
      <w:pPr>
        <w:tabs>
          <w:tab w:val="left" w:pos="13467"/>
        </w:tabs>
        <w:wordWrap w:val="0"/>
        <w:spacing w:line="400" w:lineRule="exact"/>
        <w:ind w:right="107"/>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13433" w:type="dxa"/>
        <w:jc w:val="center"/>
        <w:tblLayout w:type="fixed"/>
        <w:tblCellMar>
          <w:top w:w="0" w:type="dxa"/>
          <w:left w:w="108" w:type="dxa"/>
          <w:bottom w:w="0" w:type="dxa"/>
          <w:right w:w="108" w:type="dxa"/>
        </w:tblCellMar>
      </w:tblPr>
      <w:tblGrid>
        <w:gridCol w:w="1296"/>
        <w:gridCol w:w="110"/>
        <w:gridCol w:w="1407"/>
        <w:gridCol w:w="1517"/>
        <w:gridCol w:w="1517"/>
        <w:gridCol w:w="1517"/>
        <w:gridCol w:w="1517"/>
        <w:gridCol w:w="1517"/>
        <w:gridCol w:w="1517"/>
        <w:gridCol w:w="1518"/>
      </w:tblGrid>
      <w:tr>
        <w:tblPrEx>
          <w:tblCellMar>
            <w:top w:w="0" w:type="dxa"/>
            <w:left w:w="108" w:type="dxa"/>
            <w:bottom w:w="0" w:type="dxa"/>
            <w:right w:w="108" w:type="dxa"/>
          </w:tblCellMar>
        </w:tblPrEx>
        <w:trPr>
          <w:trHeight w:val="458"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上级补助收入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firstLine="216" w:firstLineChars="100"/>
              <w:rPr>
                <w:rFonts w:ascii="仿宋_GB2312" w:hAnsi="宋体" w:eastAsia="仿宋_GB2312" w:cs="宋体"/>
                <w:kern w:val="0"/>
                <w:sz w:val="22"/>
                <w:szCs w:val="22"/>
              </w:rPr>
            </w:pPr>
            <w:r>
              <w:rPr>
                <w:rFonts w:hint="eastAsia" w:ascii="仿宋_GB2312" w:hAnsi="宋体" w:eastAsia="仿宋_GB2312" w:cs="宋体"/>
                <w:kern w:val="0"/>
                <w:sz w:val="22"/>
                <w:szCs w:val="22"/>
              </w:rPr>
              <w:t>事业收入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经营收入</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附属单位    </w:t>
            </w:r>
          </w:p>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上缴收入</w:t>
            </w:r>
          </w:p>
        </w:tc>
        <w:tc>
          <w:tcPr>
            <w:tcW w:w="1518"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其他收入</w:t>
            </w:r>
          </w:p>
        </w:tc>
      </w:tr>
      <w:tr>
        <w:tblPrEx>
          <w:tblCellMar>
            <w:top w:w="0" w:type="dxa"/>
            <w:left w:w="108" w:type="dxa"/>
            <w:bottom w:w="0" w:type="dxa"/>
            <w:right w:w="108" w:type="dxa"/>
          </w:tblCellMar>
        </w:tblPrEx>
        <w:trPr>
          <w:trHeight w:val="457" w:hRule="atLeast"/>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07"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firstLine="216" w:firstLineChars="100"/>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p>
        </w:tc>
        <w:tc>
          <w:tcPr>
            <w:tcW w:w="1518"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r>
      <w:tr>
        <w:tblPrEx>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205.58</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205.58</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w:t>
            </w:r>
          </w:p>
        </w:tc>
        <w:tc>
          <w:tcPr>
            <w:tcW w:w="1517" w:type="dxa"/>
            <w:gridSpan w:val="2"/>
            <w:tcBorders>
              <w:top w:val="single" w:color="auto" w:sz="4" w:space="0"/>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一般公共服务支出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shd w:val="clear" w:color="auto" w:fill="auto"/>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w:t>
            </w:r>
          </w:p>
        </w:tc>
        <w:tc>
          <w:tcPr>
            <w:tcW w:w="1517" w:type="dxa"/>
            <w:gridSpan w:val="2"/>
            <w:tcBorders>
              <w:top w:val="nil"/>
              <w:left w:val="nil"/>
              <w:bottom w:val="single" w:color="auto" w:sz="4" w:space="0"/>
              <w:right w:val="single" w:color="auto" w:sz="4" w:space="0"/>
            </w:tcBorders>
            <w:shd w:val="clear" w:color="auto" w:fill="FFFFFF"/>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发展与改革事务</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2010401</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行政运行</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131.79</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2010408</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物价管理</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14.45</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2010450</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事业运行</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27.46</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社会保障和就业支出</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14.18</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行政事业单位离退休</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2080505</w:t>
            </w:r>
          </w:p>
        </w:tc>
        <w:tc>
          <w:tcPr>
            <w:tcW w:w="1517" w:type="dxa"/>
            <w:gridSpan w:val="2"/>
            <w:tcBorders>
              <w:top w:val="nil"/>
              <w:left w:val="nil"/>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机关事业单位基本养老保险缴费支出</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　</w:t>
            </w:r>
          </w:p>
        </w:tc>
        <w:tc>
          <w:tcPr>
            <w:tcW w:w="1517"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　</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2089901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其他社会保障和就业支出　</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医疗卫生与计划生育支出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　</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行政事业单位医疗　</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事业单位医疗</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5.88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5.88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2101103</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公务员医疗补助</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1.43</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1.43</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住房保障支出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住房改革支出</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住房公积金</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bl>
    <w:p>
      <w:pPr>
        <w:ind w:firstLine="108" w:firstLineChars="50"/>
        <w:rPr>
          <w:rFonts w:hint="eastAsia" w:ascii="仿宋_GB2312" w:hAnsi="宋体" w:eastAsia="仿宋_GB2312" w:cs="Times New Roman"/>
          <w:sz w:val="22"/>
          <w:szCs w:val="22"/>
          <w:lang w:eastAsia="zh-CN"/>
        </w:rPr>
      </w:pPr>
      <w:r>
        <w:rPr>
          <w:rFonts w:hint="eastAsia" w:ascii="仿宋_GB2312" w:hAnsi="宋体" w:eastAsia="仿宋_GB2312"/>
          <w:sz w:val="22"/>
          <w:szCs w:val="22"/>
        </w:rPr>
        <w:t>注：本表反映部门本年度取得的各项收入情况。</w:t>
      </w:r>
      <w:r>
        <w:rPr>
          <w:rFonts w:hint="eastAsia" w:ascii="仿宋_GB2312" w:hAnsi="宋体" w:eastAsia="仿宋_GB2312" w:cs="Times New Roman"/>
          <w:sz w:val="22"/>
          <w:szCs w:val="22"/>
        </w:rPr>
        <w:t>数据为四舍五入计算结果，导致报表合计项与分项之和存在尾数差额，特此说明</w:t>
      </w:r>
      <w:r>
        <w:rPr>
          <w:rFonts w:hint="eastAsia" w:ascii="仿宋_GB2312" w:hAnsi="宋体" w:eastAsia="仿宋_GB2312" w:cs="Times New Roman"/>
          <w:sz w:val="22"/>
          <w:szCs w:val="22"/>
          <w:lang w:eastAsia="zh-CN"/>
        </w:rPr>
        <w:t>。</w:t>
      </w:r>
    </w:p>
    <w:p>
      <w:pPr>
        <w:jc w:val="center"/>
        <w:rPr>
          <w:rFonts w:ascii="仿宋" w:hAnsi="仿宋" w:eastAsia="仿宋" w:cs="仿宋"/>
          <w:sz w:val="44"/>
          <w:szCs w:val="44"/>
        </w:rPr>
      </w:pPr>
    </w:p>
    <w:p>
      <w:pPr>
        <w:jc w:val="center"/>
        <w:rPr>
          <w:rFonts w:ascii="仿宋" w:hAnsi="仿宋" w:eastAsia="仿宋" w:cs="仿宋"/>
          <w:sz w:val="44"/>
          <w:szCs w:val="44"/>
        </w:rPr>
      </w:pPr>
    </w:p>
    <w:p>
      <w:pPr>
        <w:jc w:val="center"/>
        <w:rPr>
          <w:rFonts w:ascii="仿宋" w:hAnsi="仿宋" w:eastAsia="仿宋" w:cs="仿宋"/>
          <w:sz w:val="44"/>
          <w:szCs w:val="44"/>
        </w:rPr>
      </w:pPr>
    </w:p>
    <w:p>
      <w:pPr>
        <w:jc w:val="center"/>
        <w:rPr>
          <w:rFonts w:ascii="仿宋" w:hAnsi="仿宋" w:eastAsia="仿宋" w:cs="仿宋"/>
          <w:sz w:val="44"/>
          <w:szCs w:val="44"/>
        </w:rPr>
      </w:pPr>
    </w:p>
    <w:p>
      <w:pPr>
        <w:jc w:val="center"/>
        <w:rPr>
          <w:rFonts w:ascii="仿宋" w:hAnsi="仿宋" w:eastAsia="仿宋" w:cs="仿宋"/>
          <w:sz w:val="44"/>
          <w:szCs w:val="44"/>
        </w:rPr>
      </w:pPr>
    </w:p>
    <w:p>
      <w:pPr>
        <w:jc w:val="center"/>
        <w:rPr>
          <w:rFonts w:ascii="仿宋" w:hAnsi="仿宋" w:eastAsia="仿宋" w:cs="仿宋"/>
          <w:sz w:val="44"/>
          <w:szCs w:val="44"/>
        </w:rPr>
      </w:pPr>
    </w:p>
    <w:p>
      <w:pPr>
        <w:jc w:val="center"/>
        <w:rPr>
          <w:rFonts w:ascii="仿宋" w:hAnsi="仿宋" w:eastAsia="仿宋" w:cs="仿宋"/>
          <w:sz w:val="44"/>
          <w:szCs w:val="44"/>
        </w:rPr>
      </w:pPr>
      <w:r>
        <w:rPr>
          <w:rFonts w:hint="eastAsia" w:ascii="仿宋" w:hAnsi="仿宋" w:eastAsia="仿宋" w:cs="仿宋"/>
          <w:sz w:val="44"/>
          <w:szCs w:val="44"/>
        </w:rPr>
        <w:t>支出决算表</w:t>
      </w:r>
    </w:p>
    <w:p>
      <w:pPr>
        <w:spacing w:line="400" w:lineRule="exact"/>
        <w:jc w:val="right"/>
        <w:rPr>
          <w:rFonts w:ascii="楷体_GB2312" w:eastAsia="楷体_GB2312"/>
          <w:sz w:val="28"/>
          <w:szCs w:val="28"/>
        </w:rPr>
      </w:pPr>
      <w:r>
        <w:rPr>
          <w:rFonts w:hint="eastAsia" w:ascii="楷体_GB2312" w:eastAsia="楷体_GB2312"/>
          <w:sz w:val="28"/>
          <w:szCs w:val="28"/>
        </w:rPr>
        <w:t xml:space="preserve">                                                                                   公开03表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 xml:space="preserve"> 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13378" w:type="dxa"/>
        <w:jc w:val="center"/>
        <w:tblLayout w:type="fixed"/>
        <w:tblCellMar>
          <w:top w:w="0" w:type="dxa"/>
          <w:left w:w="108" w:type="dxa"/>
          <w:bottom w:w="0" w:type="dxa"/>
          <w:right w:w="108" w:type="dxa"/>
        </w:tblCellMar>
      </w:tblPr>
      <w:tblGrid>
        <w:gridCol w:w="1344"/>
        <w:gridCol w:w="57"/>
        <w:gridCol w:w="1401"/>
        <w:gridCol w:w="1762"/>
        <w:gridCol w:w="1763"/>
        <w:gridCol w:w="1763"/>
        <w:gridCol w:w="1762"/>
        <w:gridCol w:w="1763"/>
        <w:gridCol w:w="1763"/>
      </w:tblGrid>
      <w:tr>
        <w:tblPrEx>
          <w:tblCellMar>
            <w:top w:w="0" w:type="dxa"/>
            <w:left w:w="108" w:type="dxa"/>
            <w:bottom w:w="0" w:type="dxa"/>
            <w:right w:w="108" w:type="dxa"/>
          </w:tblCellMar>
        </w:tblPrEx>
        <w:trPr>
          <w:trHeight w:val="458"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tblPrEx>
          <w:tblCellMar>
            <w:top w:w="0" w:type="dxa"/>
            <w:left w:w="108" w:type="dxa"/>
            <w:bottom w:w="0" w:type="dxa"/>
            <w:right w:w="108" w:type="dxa"/>
          </w:tblCellMar>
        </w:tblPrEx>
        <w:trPr>
          <w:trHeight w:val="457" w:hRule="atLeast"/>
          <w:jc w:val="center"/>
        </w:trPr>
        <w:tc>
          <w:tcPr>
            <w:tcW w:w="140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06" w:hRule="atLeast"/>
          <w:jc w:val="center"/>
        </w:trPr>
        <w:tc>
          <w:tcPr>
            <w:tcW w:w="2802"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62" w:type="dxa"/>
            <w:tcBorders>
              <w:top w:val="single" w:color="auto" w:sz="4" w:space="0"/>
              <w:left w:val="nil"/>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205.58</w:t>
            </w:r>
          </w:p>
        </w:tc>
        <w:tc>
          <w:tcPr>
            <w:tcW w:w="1763" w:type="dxa"/>
            <w:tcBorders>
              <w:top w:val="single" w:color="auto" w:sz="4" w:space="0"/>
              <w:left w:val="nil"/>
              <w:bottom w:val="single" w:color="auto" w:sz="4" w:space="0"/>
              <w:right w:val="single" w:color="auto" w:sz="4" w:space="0"/>
            </w:tcBorders>
            <w:noWrap/>
            <w:vAlign w:val="center"/>
          </w:tcPr>
          <w:p>
            <w:pPr>
              <w:spacing w:line="300" w:lineRule="exact"/>
              <w:jc w:val="center"/>
              <w:rPr>
                <w:rFonts w:hint="eastAsia" w:ascii="仿宋_GB2312" w:hAnsi="Times New Roman" w:eastAsia="仿宋_GB2312" w:cs="Times New Roman"/>
                <w:kern w:val="2"/>
                <w:sz w:val="22"/>
                <w:szCs w:val="22"/>
                <w:lang w:val="en-US" w:eastAsia="zh-CN" w:bidi="ar-SA"/>
              </w:rPr>
            </w:pPr>
            <w:r>
              <w:rPr>
                <w:rFonts w:hint="eastAsia" w:ascii="仿宋_GB2312" w:eastAsia="仿宋_GB2312"/>
                <w:sz w:val="22"/>
                <w:szCs w:val="22"/>
                <w:lang w:val="en-US" w:eastAsia="zh-CN"/>
              </w:rPr>
              <w:t>195.51</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10.07</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w:t>
            </w:r>
          </w:p>
        </w:tc>
        <w:tc>
          <w:tcPr>
            <w:tcW w:w="1458" w:type="dxa"/>
            <w:gridSpan w:val="2"/>
            <w:tcBorders>
              <w:top w:val="single" w:color="auto" w:sz="4" w:space="0"/>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一般公共服务支出</w:t>
            </w:r>
          </w:p>
        </w:tc>
        <w:tc>
          <w:tcPr>
            <w:tcW w:w="1762" w:type="dxa"/>
            <w:tcBorders>
              <w:top w:val="single" w:color="auto" w:sz="4" w:space="0"/>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763" w:type="dxa"/>
            <w:tcBorders>
              <w:top w:val="single" w:color="auto" w:sz="4" w:space="0"/>
              <w:left w:val="single" w:color="auto" w:sz="4" w:space="0"/>
              <w:bottom w:val="single" w:color="auto" w:sz="4" w:space="0"/>
              <w:right w:val="nil"/>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163.63</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发展与改革事务</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163.63</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2010401</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行政运行</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131.79</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131.79</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ind w:right="90" w:rightChars="0"/>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2010408</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物价管理</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14.45</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4.38</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2010450</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事业运行</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27.46</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27.46</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社会保障和就业支出</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14.18</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14.18</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行政事业单位离退休</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2080505</w:t>
            </w:r>
          </w:p>
        </w:tc>
        <w:tc>
          <w:tcPr>
            <w:tcW w:w="1458" w:type="dxa"/>
            <w:gridSpan w:val="2"/>
            <w:tcBorders>
              <w:top w:val="nil"/>
              <w:left w:val="single" w:color="auto" w:sz="4" w:space="0"/>
              <w:bottom w:val="single" w:color="auto" w:sz="4" w:space="0"/>
              <w:right w:val="single" w:color="auto" w:sz="4" w:space="0"/>
            </w:tcBorders>
            <w:noWrap/>
            <w:vAlign w:val="top"/>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 xml:space="preserve">  机关事业单位基本养老保险缴费支出</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13.87</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　</w:t>
            </w:r>
          </w:p>
        </w:tc>
        <w:tc>
          <w:tcPr>
            <w:tcW w:w="1458" w:type="dxa"/>
            <w:gridSpan w:val="2"/>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　</w:t>
            </w:r>
          </w:p>
        </w:tc>
        <w:tc>
          <w:tcPr>
            <w:tcW w:w="1762"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2089901</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其他社会保障和就业支出　</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w:t>
            </w:r>
            <w:r>
              <w:rPr>
                <w:rFonts w:hint="eastAsia" w:ascii="仿宋_GB2312" w:hAnsi="宋体" w:eastAsia="仿宋_GB2312" w:cs="宋体"/>
                <w:kern w:val="0"/>
                <w:sz w:val="22"/>
                <w:szCs w:val="22"/>
                <w:lang w:val="en-US" w:eastAsia="zh-CN"/>
              </w:rPr>
              <w:t>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医疗卫生与计划生育支出</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　</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行政事业单位医疗　</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2101102</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事业单位医疗</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5.88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5.88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2101103</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公务员医疗补助</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1.43</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1.43</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住房保障支出</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住房改革支出</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2210201</w:t>
            </w:r>
          </w:p>
        </w:tc>
        <w:tc>
          <w:tcPr>
            <w:tcW w:w="145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 xml:space="preserve">  住房公积金</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bl>
    <w:p>
      <w:pPr>
        <w:ind w:firstLine="108" w:firstLineChars="50"/>
        <w:rPr>
          <w:rFonts w:hint="eastAsia" w:ascii="仿宋_GB2312" w:hAnsi="宋体" w:eastAsia="仿宋_GB2312" w:cs="Times New Roman"/>
          <w:sz w:val="22"/>
          <w:szCs w:val="22"/>
          <w:lang w:eastAsia="zh-CN"/>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rPr>
        <w:t>注：本表反映部门本年度各项支出情况。</w:t>
      </w:r>
      <w:r>
        <w:rPr>
          <w:rFonts w:hint="eastAsia" w:ascii="仿宋_GB2312" w:hAnsi="宋体" w:eastAsia="仿宋_GB2312" w:cs="Times New Roman"/>
          <w:sz w:val="22"/>
          <w:szCs w:val="22"/>
        </w:rPr>
        <w:t>数据为四舍五入计算结果，导致报表合计项与分项之和存在尾数差额，特此说明</w:t>
      </w:r>
      <w:r>
        <w:rPr>
          <w:rFonts w:hint="eastAsia" w:ascii="仿宋_GB2312" w:hAnsi="宋体" w:eastAsia="仿宋_GB2312" w:cs="Times New Roman"/>
          <w:sz w:val="22"/>
          <w:szCs w:val="22"/>
          <w:lang w:eastAsia="zh-CN"/>
        </w:rPr>
        <w:t>。</w:t>
      </w:r>
    </w:p>
    <w:p>
      <w:pPr>
        <w:jc w:val="center"/>
        <w:rPr>
          <w:rFonts w:ascii="仿宋" w:hAnsi="仿宋" w:eastAsia="仿宋" w:cs="仿宋"/>
          <w:sz w:val="44"/>
          <w:szCs w:val="44"/>
        </w:rPr>
      </w:pPr>
      <w:r>
        <w:rPr>
          <w:rFonts w:hint="eastAsia" w:ascii="仿宋" w:hAnsi="仿宋" w:eastAsia="仿宋" w:cs="仿宋"/>
          <w:sz w:val="44"/>
          <w:szCs w:val="44"/>
        </w:rPr>
        <w:t>财政拨款收入支出决算总表</w:t>
      </w:r>
    </w:p>
    <w:p>
      <w:pPr>
        <w:spacing w:line="400" w:lineRule="exact"/>
        <w:jc w:val="right"/>
        <w:rPr>
          <w:rFonts w:ascii="楷体_GB2312" w:eastAsia="楷体_GB2312"/>
          <w:sz w:val="28"/>
          <w:szCs w:val="28"/>
        </w:rPr>
      </w:pPr>
      <w:r>
        <w:rPr>
          <w:rFonts w:hint="eastAsia" w:ascii="楷体_GB2312" w:eastAsia="楷体_GB2312"/>
          <w:sz w:val="28"/>
          <w:szCs w:val="28"/>
        </w:rPr>
        <w:t>公开04表</w:t>
      </w:r>
    </w:p>
    <w:p>
      <w:pPr>
        <w:spacing w:line="400" w:lineRule="exact"/>
        <w:ind w:left="12004" w:leftChars="87" w:hanging="11730" w:hangingChars="42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1334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628"/>
        <w:gridCol w:w="540"/>
        <w:gridCol w:w="1699"/>
        <w:gridCol w:w="1700"/>
        <w:gridCol w:w="1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5074" w:type="dxa"/>
            <w:gridSpan w:val="3"/>
            <w:tcBorders>
              <w:top w:val="single" w:color="auto" w:sz="4" w:space="0"/>
              <w:bottom w:val="single" w:color="auto" w:sz="4" w:space="0"/>
              <w:right w:val="nil"/>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收 入</w:t>
            </w:r>
          </w:p>
        </w:tc>
        <w:tc>
          <w:tcPr>
            <w:tcW w:w="8267" w:type="dxa"/>
            <w:gridSpan w:val="5"/>
            <w:tcBorders>
              <w:top w:val="single" w:color="auto" w:sz="4" w:space="0"/>
              <w:left w:val="nil"/>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决算数</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政府性基金</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ind w:firstLine="1080" w:firstLineChars="500"/>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205.58</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eastAsia="仿宋_GB2312"/>
                <w:sz w:val="22"/>
                <w:szCs w:val="22"/>
                <w:lang w:val="en-US" w:eastAsia="zh-CN"/>
              </w:rPr>
              <w:t>173.7</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ascii="仿宋_GB2312" w:hAnsi="宋体" w:eastAsia="仿宋_GB2312" w:cs="宋体"/>
                <w:kern w:val="0"/>
                <w:sz w:val="22"/>
                <w:szCs w:val="22"/>
              </w:rPr>
            </w:pPr>
            <w:r>
              <w:rPr>
                <w:rFonts w:hint="eastAsia" w:ascii="仿宋_GB2312" w:eastAsia="仿宋_GB2312"/>
                <w:sz w:val="22"/>
                <w:szCs w:val="22"/>
              </w:rPr>
              <w:t>七、文化体育与传媒支出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ascii="仿宋_GB2312" w:hAnsi="宋体" w:eastAsia="仿宋_GB2312" w:cs="宋体"/>
                <w:kern w:val="0"/>
                <w:sz w:val="22"/>
                <w:szCs w:val="22"/>
              </w:rPr>
            </w:pPr>
            <w:r>
              <w:rPr>
                <w:rFonts w:hint="eastAsia" w:ascii="仿宋_GB2312" w:eastAsia="仿宋_GB2312"/>
                <w:sz w:val="22"/>
                <w:szCs w:val="22"/>
              </w:rPr>
              <w:t>八、社会保障和就业支出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14.18</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14.18</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九、医疗卫生与计划生育支出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7.31</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十、节能环保支出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十一、城乡社区支出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十二、农林水支出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十三、交通运输支出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十四、资源勘探信息等支出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十五、商业服务业等支出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十六、金融支出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十七、援助其他地区支出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十八、国土海洋气象等支出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十九、住房保障支出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10.38</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二十、粮油物资储备支出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二十一、其他支出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二十二、债务还本支出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eastAsia" w:ascii="仿宋_GB2312" w:hAnsi="宋体" w:eastAsia="仿宋_GB2312" w:cs="宋体"/>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240" w:lineRule="exact"/>
              <w:jc w:val="left"/>
              <w:rPr>
                <w:rFonts w:hint="eastAsia" w:ascii="仿宋_GB2312" w:hAnsi="宋体" w:eastAsia="仿宋_GB2312" w:cs="宋体"/>
                <w:bCs/>
                <w:kern w:val="0"/>
                <w:sz w:val="22"/>
                <w:szCs w:val="22"/>
              </w:rPr>
            </w:pPr>
            <w:r>
              <w:rPr>
                <w:rFonts w:hint="eastAsia" w:ascii="仿宋_GB2312" w:eastAsia="仿宋_GB2312"/>
                <w:sz w:val="22"/>
                <w:szCs w:val="22"/>
              </w:rPr>
              <w:t>二十三、债务付息支出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205.58</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205.58</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b/>
                <w:bCs/>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56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b/>
                <w:bCs/>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hint="default" w:ascii="仿宋_GB2312" w:hAnsi="宋体" w:eastAsia="仿宋_GB2312" w:cs="宋体"/>
                <w:kern w:val="0"/>
                <w:sz w:val="22"/>
                <w:szCs w:val="22"/>
                <w:lang w:val="en-US"/>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205.58</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205.58</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b/>
                <w:bCs/>
                <w:kern w:val="0"/>
                <w:sz w:val="22"/>
                <w:szCs w:val="22"/>
                <w:lang w:val="en-US" w:eastAsia="zh-CN" w:bidi="ar-SA"/>
              </w:rPr>
            </w:pPr>
            <w:r>
              <w:rPr>
                <w:rFonts w:hint="eastAsia" w:ascii="仿宋_GB2312" w:hAnsi="宋体" w:eastAsia="仿宋_GB2312" w:cs="宋体"/>
                <w:kern w:val="0"/>
                <w:sz w:val="22"/>
                <w:szCs w:val="22"/>
                <w:lang w:val="en-US" w:eastAsia="zh-CN"/>
              </w:rPr>
              <w:t>0.00</w:t>
            </w:r>
          </w:p>
        </w:tc>
      </w:tr>
    </w:tbl>
    <w:p>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注：本表反映部门本年度一般公共预算财政拨款和政府性基金预算财政拨款的总收支和年末结转结余情况。</w:t>
      </w:r>
    </w:p>
    <w:p>
      <w:pPr>
        <w:ind w:firstLine="108" w:firstLineChars="50"/>
        <w:rPr>
          <w:rFonts w:hint="eastAsia" w:ascii="仿宋_GB2312" w:hAnsi="宋体" w:eastAsia="仿宋_GB2312" w:cs="Times New Roman"/>
          <w:sz w:val="22"/>
          <w:szCs w:val="22"/>
          <w:lang w:eastAsia="zh-CN"/>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cs="Times New Roman"/>
          <w:sz w:val="22"/>
          <w:szCs w:val="22"/>
        </w:rPr>
        <w:t>数据为四舍五入计算结果，导致报表合计项与分项之和存在尾数差额，特此说明</w:t>
      </w:r>
      <w:r>
        <w:rPr>
          <w:rFonts w:hint="eastAsia" w:ascii="仿宋_GB2312" w:hAnsi="宋体" w:eastAsia="仿宋_GB2312" w:cs="Times New Roman"/>
          <w:sz w:val="22"/>
          <w:szCs w:val="22"/>
          <w:lang w:eastAsia="zh-CN"/>
        </w:rPr>
        <w:t>。</w:t>
      </w:r>
    </w:p>
    <w:p>
      <w:pPr>
        <w:jc w:val="center"/>
        <w:rPr>
          <w:rFonts w:ascii="方正小标宋简体" w:eastAsia="方正小标宋简体"/>
          <w:sz w:val="44"/>
          <w:szCs w:val="44"/>
        </w:rPr>
      </w:pPr>
      <w:r>
        <w:rPr>
          <w:rFonts w:hint="eastAsia" w:ascii="仿宋" w:hAnsi="仿宋" w:eastAsia="仿宋" w:cs="仿宋"/>
          <w:sz w:val="44"/>
          <w:szCs w:val="44"/>
        </w:rPr>
        <w:t>一般公共预算财政拨款支出决算表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公开05表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13152" w:type="dxa"/>
        <w:jc w:val="center"/>
        <w:tblLayout w:type="fixed"/>
        <w:tblCellMar>
          <w:top w:w="0" w:type="dxa"/>
          <w:left w:w="108" w:type="dxa"/>
          <w:bottom w:w="0" w:type="dxa"/>
          <w:right w:w="108" w:type="dxa"/>
        </w:tblCellMar>
      </w:tblPr>
      <w:tblGrid>
        <w:gridCol w:w="1701"/>
        <w:gridCol w:w="3170"/>
        <w:gridCol w:w="2783"/>
        <w:gridCol w:w="2978"/>
        <w:gridCol w:w="2520"/>
      </w:tblGrid>
      <w:tr>
        <w:tblPrEx>
          <w:tblCellMar>
            <w:top w:w="0" w:type="dxa"/>
            <w:left w:w="108" w:type="dxa"/>
            <w:bottom w:w="0" w:type="dxa"/>
            <w:right w:w="108" w:type="dxa"/>
          </w:tblCellMar>
        </w:tblPrEx>
        <w:trPr>
          <w:trHeight w:val="428" w:hRule="atLeas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675"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205.58</w:t>
            </w:r>
          </w:p>
        </w:tc>
        <w:tc>
          <w:tcPr>
            <w:tcW w:w="2978"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195.51</w:t>
            </w:r>
          </w:p>
        </w:tc>
        <w:tc>
          <w:tcPr>
            <w:tcW w:w="2520"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10.07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201</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一般公共服务支出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173.70</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163.63</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10.07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20104</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发展与改革事务</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146.24</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136.17</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10.07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2010401</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行政运行</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131.79</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131.79</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2010408</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物价管理</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14.45</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4.38</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10.07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default" w:ascii="仿宋_GB2312" w:eastAsia="仿宋_GB2312"/>
                <w:sz w:val="22"/>
                <w:szCs w:val="22"/>
                <w:lang w:val="en-US" w:eastAsia="zh-CN"/>
              </w:rPr>
            </w:pPr>
            <w:r>
              <w:rPr>
                <w:rFonts w:hint="eastAsia" w:ascii="仿宋_GB2312" w:eastAsia="仿宋_GB2312"/>
                <w:sz w:val="22"/>
                <w:szCs w:val="22"/>
                <w:lang w:val="en-US" w:eastAsia="zh-CN"/>
              </w:rPr>
              <w:t>20199</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其他一般公共服务支出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27.46</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27.46</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lang w:val="en-US" w:eastAsia="zh-CN"/>
              </w:rPr>
              <w:t>2019999</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其他一般公共服务支出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27.46</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27.46</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208</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社会保障和就业支出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14.18</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14.18</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20805</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行政事业单位离退休</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13.87</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13.87</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2080505</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机关事业单位基本养老保险缴费支出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13.87</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13.87</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20899</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其他社会保障和就业支出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0.31</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0.31</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2089901</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其他社会保障和就业支出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0.31</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0.31</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210</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卫生健康支出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7.31</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7.31</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21011</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行政事业单位医疗</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7.31</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7.31</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2101102</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事业单位医疗</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5.88</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5.88</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2101103</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公务员医疗补助</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1.43</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1.43</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221</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住房保障支出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22102</w:t>
            </w:r>
          </w:p>
        </w:tc>
        <w:tc>
          <w:tcPr>
            <w:tcW w:w="317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住房改革支出</w:t>
            </w:r>
          </w:p>
        </w:tc>
        <w:tc>
          <w:tcPr>
            <w:tcW w:w="2783"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978"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520" w:type="dxa"/>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2210201</w:t>
            </w:r>
          </w:p>
        </w:tc>
        <w:tc>
          <w:tcPr>
            <w:tcW w:w="3170"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hint="eastAsia" w:ascii="仿宋_GB2312" w:eastAsia="仿宋_GB2312"/>
                <w:sz w:val="22"/>
                <w:szCs w:val="22"/>
                <w:lang w:val="en-US" w:eastAsia="zh-CN"/>
              </w:rPr>
            </w:pPr>
            <w:r>
              <w:rPr>
                <w:rFonts w:hint="eastAsia" w:ascii="仿宋_GB2312" w:eastAsia="仿宋_GB2312"/>
                <w:sz w:val="22"/>
                <w:szCs w:val="22"/>
                <w:lang w:val="en-US" w:eastAsia="zh-CN"/>
              </w:rPr>
              <w:t xml:space="preserve">  住房公积金</w:t>
            </w:r>
          </w:p>
        </w:tc>
        <w:tc>
          <w:tcPr>
            <w:tcW w:w="27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97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10.38</w:t>
            </w:r>
          </w:p>
        </w:tc>
        <w:tc>
          <w:tcPr>
            <w:tcW w:w="25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hint="eastAsia" w:ascii="仿宋_GB2312" w:eastAsia="仿宋_GB2312"/>
                <w:sz w:val="22"/>
                <w:szCs w:val="22"/>
                <w:lang w:val="en-US" w:eastAsia="zh-CN"/>
              </w:rPr>
            </w:pPr>
            <w:r>
              <w:rPr>
                <w:rFonts w:hint="eastAsia" w:ascii="仿宋_GB2312" w:eastAsia="仿宋_GB2312"/>
                <w:sz w:val="22"/>
                <w:szCs w:val="22"/>
                <w:lang w:val="en-US" w:eastAsia="zh-CN"/>
              </w:rPr>
              <w:t>0.00</w:t>
            </w:r>
          </w:p>
        </w:tc>
      </w:tr>
    </w:tbl>
    <w:p>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注：本表反映部门本年度一般公共预算财政拨款支出情况。</w:t>
      </w:r>
    </w:p>
    <w:p>
      <w:pPr>
        <w:spacing w:line="400" w:lineRule="exact"/>
        <w:ind w:firstLine="108" w:firstLineChars="50"/>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cs="Times New Roman"/>
          <w:sz w:val="22"/>
          <w:szCs w:val="22"/>
        </w:rPr>
        <w:t>数据为四舍五入计算结果，导致报表合计项与分项之和存在尾数差额，特此说明</w:t>
      </w:r>
      <w:r>
        <w:rPr>
          <w:rFonts w:hint="eastAsia" w:ascii="仿宋_GB2312" w:hAnsi="宋体" w:eastAsia="仿宋_GB2312" w:cs="Times New Roman"/>
          <w:sz w:val="22"/>
          <w:szCs w:val="22"/>
          <w:lang w:eastAsia="zh-CN"/>
        </w:rPr>
        <w:t>。</w:t>
      </w:r>
    </w:p>
    <w:p>
      <w:pPr>
        <w:jc w:val="center"/>
        <w:rPr>
          <w:rFonts w:ascii="仿宋" w:hAnsi="仿宋" w:eastAsia="仿宋" w:cs="仿宋"/>
          <w:sz w:val="44"/>
          <w:szCs w:val="44"/>
        </w:rPr>
      </w:pPr>
      <w:r>
        <w:rPr>
          <w:rFonts w:hint="eastAsia" w:ascii="仿宋" w:hAnsi="仿宋" w:eastAsia="仿宋" w:cs="仿宋"/>
          <w:sz w:val="44"/>
          <w:szCs w:val="44"/>
        </w:rPr>
        <w:t>一般公共预算财政拨款基本支出决算表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公开06表</w:t>
      </w:r>
    </w:p>
    <w:p>
      <w:pPr>
        <w:spacing w:line="400" w:lineRule="exact"/>
        <w:ind w:left="12004" w:leftChars="87" w:hanging="11730" w:hangingChars="42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单位：万元</w:t>
      </w:r>
    </w:p>
    <w:tbl>
      <w:tblPr>
        <w:tblStyle w:val="4"/>
        <w:tblW w:w="13275" w:type="dxa"/>
        <w:jc w:val="center"/>
        <w:tblLayout w:type="fixed"/>
        <w:tblCellMar>
          <w:top w:w="0" w:type="dxa"/>
          <w:left w:w="108" w:type="dxa"/>
          <w:bottom w:w="0" w:type="dxa"/>
          <w:right w:w="108" w:type="dxa"/>
        </w:tblCellMar>
      </w:tblPr>
      <w:tblGrid>
        <w:gridCol w:w="1008"/>
        <w:gridCol w:w="3023"/>
        <w:gridCol w:w="1025"/>
        <w:gridCol w:w="960"/>
        <w:gridCol w:w="1984"/>
        <w:gridCol w:w="833"/>
        <w:gridCol w:w="1010"/>
        <w:gridCol w:w="2551"/>
        <w:gridCol w:w="881"/>
      </w:tblGrid>
      <w:tr>
        <w:tblPrEx>
          <w:tblCellMar>
            <w:top w:w="0" w:type="dxa"/>
            <w:left w:w="108" w:type="dxa"/>
            <w:bottom w:w="0" w:type="dxa"/>
            <w:right w:w="108" w:type="dxa"/>
          </w:tblCellMar>
        </w:tblPrEx>
        <w:trPr>
          <w:trHeight w:val="369" w:hRule="atLeast"/>
          <w:tblHeader/>
          <w:jc w:val="center"/>
        </w:trPr>
        <w:tc>
          <w:tcPr>
            <w:tcW w:w="5056" w:type="dxa"/>
            <w:gridSpan w:val="3"/>
            <w:tcBorders>
              <w:top w:val="single" w:color="auto" w:sz="8" w:space="0"/>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w:t>
            </w:r>
          </w:p>
        </w:tc>
        <w:tc>
          <w:tcPr>
            <w:tcW w:w="8219" w:type="dxa"/>
            <w:gridSpan w:val="6"/>
            <w:tcBorders>
              <w:top w:val="single" w:color="auto" w:sz="8" w:space="0"/>
              <w:left w:val="nil"/>
              <w:bottom w:val="single" w:color="auto" w:sz="4" w:space="0"/>
              <w:right w:val="single" w:color="000000"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w:t>
            </w:r>
          </w:p>
        </w:tc>
      </w:tr>
      <w:tr>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 科目编码</w:t>
            </w:r>
          </w:p>
        </w:tc>
        <w:tc>
          <w:tcPr>
            <w:tcW w:w="302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1025"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960"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r>
      <w:tr>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025"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960"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pPr>
              <w:widowControl/>
              <w:spacing w:line="300" w:lineRule="exact"/>
              <w:jc w:val="left"/>
              <w:rPr>
                <w:rFonts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工资福利支出</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137.72</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47.48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基本工资</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38.18</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2.82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津贴补贴</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43.95</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0.76</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奖金</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20.7</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伙食补助费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绩效工资</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3.01</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0.05</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机关事业单位基本养老保险缴费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13.87</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0.97</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职业年金缴费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0.88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职工基本医疗保险缴费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5.88</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1.97</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公务员医疗补助缴费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1.43</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5.23</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其他社会保障缴费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0.31</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0.80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住房公积金</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10.38</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维修(护)费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其他工资福利支出</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对个人和家庭的补助</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10.31</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离休费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退休费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退职（役）费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抚恤金</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jc w:val="both"/>
              <w:rPr>
                <w:rFonts w:hint="eastAsia"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0"/>
                <w:szCs w:val="20"/>
                <w:lang w:val="en-US" w:eastAsia="zh-CN"/>
              </w:rPr>
              <w:t>30224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生活补助</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9.33</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救济费</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医疗费补助</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助学金</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2.35</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奖励金</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0.01</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rPr>
              <w:t>0.3</w:t>
            </w:r>
            <w:r>
              <w:rPr>
                <w:rFonts w:hint="eastAsia" w:ascii="仿宋_GB2312" w:hAnsi="宋体" w:eastAsia="仿宋_GB2312" w:cs="宋体"/>
                <w:color w:val="000000"/>
                <w:kern w:val="0"/>
                <w:sz w:val="22"/>
                <w:szCs w:val="22"/>
                <w:lang w:val="en-US" w:eastAsia="zh-CN"/>
              </w:rPr>
              <w:t>6</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个人农业生产补贴</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其他对个人和家庭的补助</w:t>
            </w: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0.96</w:t>
            </w: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5.81</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21.77</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bidi="ar-SA"/>
              </w:rPr>
            </w:pPr>
            <w:r>
              <w:rPr>
                <w:rFonts w:hint="eastAsia" w:ascii="仿宋_GB2312" w:hAnsi="宋体" w:eastAsia="仿宋_GB2312" w:cs="宋体"/>
                <w:color w:val="000000"/>
                <w:kern w:val="0"/>
                <w:sz w:val="22"/>
                <w:szCs w:val="22"/>
                <w:lang w:val="en-US" w:eastAsia="zh-CN"/>
              </w:rPr>
              <w:t>3.7</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25"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96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lang w:val="en-US" w:eastAsia="zh-CN" w:bidi="ar-SA"/>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人员经费合计</w:t>
            </w:r>
          </w:p>
        </w:tc>
        <w:tc>
          <w:tcPr>
            <w:tcW w:w="1025" w:type="dxa"/>
            <w:tcBorders>
              <w:top w:val="nil"/>
              <w:left w:val="nil"/>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148.03</w:t>
            </w:r>
          </w:p>
        </w:tc>
        <w:tc>
          <w:tcPr>
            <w:tcW w:w="7338" w:type="dxa"/>
            <w:gridSpan w:val="5"/>
            <w:tcBorders>
              <w:top w:val="single" w:color="auto" w:sz="4" w:space="0"/>
              <w:left w:val="nil"/>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2"/>
                <w:szCs w:val="22"/>
                <w:lang w:val="en-US" w:eastAsia="zh-CN"/>
              </w:rPr>
              <w:t>47.48</w:t>
            </w:r>
          </w:p>
        </w:tc>
      </w:tr>
    </w:tbl>
    <w:p>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注:本表反映部门本年度一般公共预算财政拨款基本支出明细情况。</w:t>
      </w:r>
    </w:p>
    <w:p>
      <w:pPr>
        <w:spacing w:line="400" w:lineRule="exact"/>
        <w:ind w:firstLine="108" w:firstLineChars="50"/>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cs="Times New Roman"/>
          <w:sz w:val="22"/>
          <w:szCs w:val="22"/>
        </w:rPr>
        <w:t>数据为四舍五入计算结果，导致报表合计项与分项之和存在尾数差额，特此说明</w:t>
      </w:r>
      <w:r>
        <w:rPr>
          <w:rFonts w:hint="eastAsia" w:ascii="仿宋_GB2312" w:hAnsi="宋体" w:eastAsia="仿宋_GB2312" w:cs="Times New Roman"/>
          <w:sz w:val="22"/>
          <w:szCs w:val="22"/>
          <w:lang w:eastAsia="zh-CN"/>
        </w:rPr>
        <w:t>。</w:t>
      </w:r>
    </w:p>
    <w:p>
      <w:pPr>
        <w:jc w:val="center"/>
        <w:rPr>
          <w:rFonts w:ascii="仿宋" w:hAnsi="仿宋" w:eastAsia="仿宋" w:cs="仿宋"/>
          <w:sz w:val="44"/>
          <w:szCs w:val="44"/>
        </w:rPr>
      </w:pPr>
      <w:r>
        <w:rPr>
          <w:rFonts w:hint="eastAsia" w:ascii="仿宋" w:hAnsi="仿宋" w:eastAsia="仿宋" w:cs="仿宋"/>
          <w:sz w:val="44"/>
          <w:szCs w:val="44"/>
        </w:rPr>
        <w:t>一般公共预算财政拨款“三公”经费支出决算表</w:t>
      </w:r>
    </w:p>
    <w:p>
      <w:pPr>
        <w:wordWrap w:val="0"/>
        <w:spacing w:line="400" w:lineRule="exact"/>
        <w:jc w:val="right"/>
        <w:rPr>
          <w:rFonts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公开07表</w:t>
      </w:r>
    </w:p>
    <w:p>
      <w:pPr>
        <w:spacing w:line="400" w:lineRule="exact"/>
        <w:ind w:left="12280" w:leftChars="87" w:hanging="12006" w:hangingChars="43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威海市文登区物价局</w:t>
      </w:r>
      <w:r>
        <w:rPr>
          <w:rFonts w:hint="eastAsia" w:ascii="楷体_GB2312" w:eastAsia="楷体_GB2312"/>
          <w:sz w:val="28"/>
          <w:szCs w:val="28"/>
        </w:rPr>
        <w:t xml:space="preserve">                                                                  </w:t>
      </w:r>
    </w:p>
    <w:p>
      <w:pPr>
        <w:spacing w:line="400" w:lineRule="exact"/>
        <w:ind w:left="12235" w:leftChars="3741" w:hanging="414" w:hangingChars="150"/>
        <w:jc w:val="left"/>
        <w:rPr>
          <w:rFonts w:ascii="楷体_GB2312" w:eastAsia="楷体_GB2312"/>
          <w:sz w:val="28"/>
          <w:szCs w:val="28"/>
        </w:rPr>
      </w:pPr>
      <w:r>
        <w:rPr>
          <w:rFonts w:hint="eastAsia" w:ascii="楷体_GB2312" w:eastAsia="楷体_GB2312"/>
          <w:sz w:val="28"/>
          <w:szCs w:val="28"/>
        </w:rPr>
        <w:t>单位：万元</w:t>
      </w:r>
    </w:p>
    <w:tbl>
      <w:tblPr>
        <w:tblStyle w:val="4"/>
        <w:tblW w:w="13256" w:type="dxa"/>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 算 数　</w:t>
            </w:r>
          </w:p>
        </w:tc>
      </w:tr>
      <w:tr>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88"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88"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962" w:type="dxa"/>
            <w:tcBorders>
              <w:top w:val="nil"/>
              <w:left w:val="nil"/>
              <w:bottom w:val="single" w:color="auto" w:sz="8"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r>
      <w:tr>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2.00</w:t>
            </w:r>
          </w:p>
        </w:tc>
        <w:tc>
          <w:tcPr>
            <w:tcW w:w="1195" w:type="dxa"/>
            <w:tcBorders>
              <w:top w:val="nil"/>
              <w:left w:val="nil"/>
              <w:bottom w:val="single" w:color="auto" w:sz="8" w:space="0"/>
              <w:right w:val="single" w:color="auto" w:sz="4" w:space="0"/>
            </w:tcBorders>
            <w:shd w:val="clear" w:color="auto" w:fill="auto"/>
            <w:noWrap/>
            <w:vAlign w:val="center"/>
          </w:tcPr>
          <w:p>
            <w:pPr>
              <w:widowControl/>
              <w:spacing w:line="300" w:lineRule="exact"/>
              <w:jc w:val="left"/>
              <w:rPr>
                <w:rFonts w:hint="default"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1188" w:type="dxa"/>
            <w:tcBorders>
              <w:top w:val="nil"/>
              <w:left w:val="nil"/>
              <w:bottom w:val="single" w:color="auto" w:sz="8"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lang w:val="en-US" w:eastAsia="zh-CN" w:bidi="ar-SA"/>
              </w:rPr>
            </w:pPr>
            <w:r>
              <w:rPr>
                <w:rFonts w:hint="eastAsia" w:ascii="仿宋_GB2312" w:hAnsi="Times New Roman" w:eastAsia="仿宋_GB2312" w:cs="Times New Roman"/>
                <w:sz w:val="22"/>
                <w:szCs w:val="22"/>
                <w:lang w:val="en-US" w:eastAsia="zh-CN"/>
              </w:rPr>
              <w:t>0.00</w:t>
            </w:r>
          </w:p>
        </w:tc>
        <w:tc>
          <w:tcPr>
            <w:tcW w:w="962" w:type="dxa"/>
            <w:tcBorders>
              <w:top w:val="nil"/>
              <w:left w:val="nil"/>
              <w:bottom w:val="single" w:color="auto" w:sz="8" w:space="0"/>
              <w:right w:val="single" w:color="000000" w:sz="8"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2.00</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Times New Roman" w:eastAsia="仿宋_GB2312" w:cs="Times New Roman"/>
                <w:sz w:val="22"/>
                <w:szCs w:val="22"/>
                <w:lang w:val="en-US" w:eastAsia="zh-CN"/>
              </w:rPr>
              <w:t>0.00</w:t>
            </w:r>
          </w:p>
        </w:tc>
      </w:tr>
    </w:tbl>
    <w:p>
      <w:pPr>
        <w:spacing w:line="360" w:lineRule="exact"/>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pPr>
        <w:spacing w:line="360" w:lineRule="exact"/>
        <w:ind w:firstLine="540" w:firstLineChars="250"/>
        <w:rPr>
          <w:rFonts w:ascii="仿宋_GB2312" w:hAnsi="宋体" w:eastAsia="仿宋_GB2312"/>
          <w:sz w:val="22"/>
          <w:szCs w:val="22"/>
        </w:rPr>
      </w:pPr>
      <w:r>
        <w:rPr>
          <w:rFonts w:hint="eastAsia" w:ascii="仿宋_GB2312" w:hAnsi="宋体" w:eastAsia="仿宋_GB2312"/>
          <w:sz w:val="22"/>
          <w:szCs w:val="22"/>
        </w:rPr>
        <w:t>和以前年度结转资金安排的实际支出。</w:t>
      </w:r>
    </w:p>
    <w:p>
      <w:pPr>
        <w:ind w:firstLine="108" w:firstLineChars="50"/>
        <w:rPr>
          <w:rFonts w:ascii="仿宋_GB2312" w:hAnsi="宋体" w:eastAsia="仿宋_GB2312"/>
          <w:sz w:val="22"/>
          <w:szCs w:val="22"/>
        </w:rPr>
      </w:pPr>
    </w:p>
    <w:p>
      <w:pPr>
        <w:ind w:firstLine="108" w:firstLineChars="50"/>
        <w:rPr>
          <w:rFonts w:ascii="仿宋_GB2312" w:hAnsi="宋体" w:eastAsia="仿宋_GB2312"/>
          <w:sz w:val="22"/>
          <w:szCs w:val="22"/>
        </w:rPr>
      </w:pPr>
    </w:p>
    <w:p>
      <w:pPr>
        <w:ind w:firstLine="108" w:firstLineChars="50"/>
        <w:rPr>
          <w:rFonts w:ascii="仿宋_GB2312" w:hAnsi="宋体" w:eastAsia="仿宋_GB2312"/>
          <w:sz w:val="22"/>
          <w:szCs w:val="22"/>
        </w:rPr>
      </w:pPr>
    </w:p>
    <w:p>
      <w:pPr>
        <w:jc w:val="center"/>
        <w:rPr>
          <w:rFonts w:ascii="仿宋" w:hAnsi="仿宋" w:eastAsia="仿宋" w:cs="仿宋"/>
          <w:sz w:val="44"/>
          <w:szCs w:val="44"/>
        </w:rPr>
      </w:pPr>
      <w:r>
        <w:rPr>
          <w:rFonts w:hint="eastAsia" w:ascii="仿宋" w:hAnsi="仿宋" w:eastAsia="仿宋" w:cs="仿宋"/>
          <w:sz w:val="44"/>
          <w:szCs w:val="44"/>
        </w:rPr>
        <w:t>政府性基金预算财政拨款收入支出决算表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公开08表</w:t>
      </w:r>
    </w:p>
    <w:p>
      <w:pPr>
        <w:spacing w:line="400" w:lineRule="exact"/>
        <w:ind w:left="11728" w:leftChars="87" w:hanging="11454" w:hangingChars="41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原威海市文登区物价局</w:t>
      </w:r>
      <w:r>
        <w:rPr>
          <w:rFonts w:hint="eastAsia" w:ascii="楷体_GB2312" w:eastAsia="楷体_GB2312"/>
          <w:sz w:val="28"/>
          <w:szCs w:val="28"/>
        </w:rPr>
        <w:t xml:space="preserve">                                                                               单位：万元</w:t>
      </w:r>
    </w:p>
    <w:tbl>
      <w:tblPr>
        <w:tblStyle w:val="4"/>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highlight w:val="none"/>
                <w:lang w:val="en-US" w:eastAsia="zh-CN"/>
              </w:rPr>
            </w:pPr>
            <w:r>
              <w:rPr>
                <w:rFonts w:hint="eastAsia" w:ascii="仿宋_GB2312" w:hAnsi="宋体" w:eastAsia="仿宋_GB2312" w:cs="宋体"/>
                <w:kern w:val="0"/>
                <w:sz w:val="22"/>
                <w:szCs w:val="22"/>
                <w:highlight w:val="none"/>
                <w:lang w:val="en-US" w:eastAsia="zh-CN"/>
              </w:rPr>
              <w:t>0.00</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highlight w:val="none"/>
              </w:rPr>
            </w:pPr>
            <w:r>
              <w:rPr>
                <w:rFonts w:hint="eastAsia" w:ascii="仿宋_GB2312" w:hAnsi="宋体" w:eastAsia="仿宋_GB2312" w:cs="宋体"/>
                <w:kern w:val="0"/>
                <w:sz w:val="22"/>
                <w:szCs w:val="22"/>
                <w:highlight w:val="none"/>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highlight w:val="none"/>
              </w:rPr>
            </w:pPr>
            <w:r>
              <w:rPr>
                <w:rFonts w:hint="eastAsia" w:ascii="仿宋_GB2312" w:hAnsi="宋体" w:eastAsia="仿宋_GB2312" w:cs="宋体"/>
                <w:kern w:val="0"/>
                <w:sz w:val="22"/>
                <w:szCs w:val="22"/>
                <w:highlight w:val="none"/>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highlight w:val="none"/>
              </w:rPr>
            </w:pPr>
            <w:r>
              <w:rPr>
                <w:rFonts w:hint="eastAsia" w:ascii="仿宋_GB2312" w:hAnsi="宋体" w:eastAsia="仿宋_GB2312" w:cs="宋体"/>
                <w:kern w:val="0"/>
                <w:sz w:val="22"/>
                <w:szCs w:val="22"/>
                <w:highlight w:val="none"/>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highlight w:val="none"/>
              </w:rPr>
            </w:pPr>
            <w:r>
              <w:rPr>
                <w:rFonts w:hint="eastAsia" w:ascii="仿宋_GB2312" w:hAnsi="宋体" w:eastAsia="仿宋_GB2312" w:cs="宋体"/>
                <w:kern w:val="0"/>
                <w:sz w:val="22"/>
                <w:szCs w:val="22"/>
                <w:highlight w:val="none"/>
                <w:lang w:val="en-US" w:eastAsia="zh-CN"/>
              </w:rPr>
              <w:t>0.00</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highlight w:val="none"/>
              </w:rPr>
            </w:pPr>
            <w:r>
              <w:rPr>
                <w:rFonts w:hint="eastAsia" w:ascii="仿宋_GB2312" w:hAnsi="宋体" w:eastAsia="仿宋_GB2312" w:cs="宋体"/>
                <w:kern w:val="0"/>
                <w:sz w:val="22"/>
                <w:szCs w:val="22"/>
                <w:highlight w:val="none"/>
                <w:lang w:val="en-US" w:eastAsia="zh-CN"/>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hint="default" w:ascii="仿宋_GB2312" w:hAnsi="宋体" w:eastAsia="仿宋_GB2312" w:cs="宋体"/>
                <w:kern w:val="0"/>
                <w:sz w:val="22"/>
                <w:szCs w:val="22"/>
                <w:lang w:val="en-US"/>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注：本表反映部门本年度政府性基金预算财政拨款收入、支出及结转和结余情况。</w:t>
      </w:r>
    </w:p>
    <w:p>
      <w:pPr>
        <w:ind w:firstLine="158" w:firstLineChars="5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eastAsia="仿宋_GB2312"/>
          <w:b/>
          <w:sz w:val="32"/>
          <w:szCs w:val="32"/>
          <w:lang w:eastAsia="zh-CN"/>
        </w:rPr>
        <w:t>原物</w:t>
      </w:r>
      <w:r>
        <w:rPr>
          <w:rFonts w:hint="eastAsia" w:ascii="仿宋_GB2312" w:eastAsia="仿宋_GB2312"/>
          <w:b/>
          <w:sz w:val="32"/>
          <w:szCs w:val="32"/>
        </w:rPr>
        <w:t>价局没有政府性基金收入，也没有使用政府性基金安排的支出，故本表无数据。</w:t>
      </w:r>
    </w:p>
    <w:p>
      <w:pPr>
        <w:jc w:val="center"/>
        <w:rPr>
          <w:rFonts w:ascii="方正小标宋简体" w:eastAsia="方正小标宋简体"/>
          <w:sz w:val="42"/>
        </w:rPr>
      </w:pPr>
    </w:p>
    <w:p>
      <w:pPr>
        <w:ind w:firstLine="536" w:firstLineChars="100"/>
        <w:rPr>
          <w:rFonts w:ascii="仿宋" w:hAnsi="仿宋" w:eastAsia="仿宋" w:cs="仿宋"/>
          <w:spacing w:val="60"/>
          <w:sz w:val="42"/>
        </w:rPr>
      </w:pPr>
      <w:r>
        <w:rPr>
          <w:rFonts w:hint="eastAsia" w:ascii="仿宋" w:hAnsi="仿宋" w:eastAsia="仿宋" w:cs="仿宋"/>
          <w:spacing w:val="60"/>
          <w:sz w:val="42"/>
        </w:rPr>
        <w:t>第三部分</w:t>
      </w:r>
    </w:p>
    <w:p>
      <w:pPr>
        <w:jc w:val="center"/>
        <w:rPr>
          <w:rFonts w:ascii="仿宋" w:hAnsi="仿宋" w:eastAsia="仿宋" w:cs="仿宋"/>
          <w:spacing w:val="60"/>
          <w:sz w:val="42"/>
        </w:rPr>
      </w:pPr>
    </w:p>
    <w:p>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2019年度部门决算情况说明</w:t>
      </w:r>
    </w:p>
    <w:p>
      <w:pPr>
        <w:ind w:firstLine="632" w:firstLineChars="200"/>
        <w:rPr>
          <w:rFonts w:ascii="黑体" w:hAnsi="黑体" w:eastAsia="黑体"/>
          <w:szCs w:val="32"/>
        </w:rPr>
      </w:pPr>
      <w:r>
        <w:rPr>
          <w:rFonts w:hint="eastAsia" w:ascii="黑体" w:hAnsi="黑体" w:eastAsia="黑体"/>
          <w:szCs w:val="32"/>
        </w:rPr>
        <w:t>一、收入支出决算总体情况说明</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年度收、支总计</w:t>
      </w:r>
      <w:r>
        <w:rPr>
          <w:rFonts w:hint="eastAsia" w:ascii="仿宋_GB2312" w:eastAsia="仿宋_GB2312"/>
          <w:szCs w:val="32"/>
          <w:lang w:val="en-US" w:eastAsia="zh-CN"/>
        </w:rPr>
        <w:t>205.58</w:t>
      </w:r>
      <w:r>
        <w:rPr>
          <w:rFonts w:hint="eastAsia" w:ascii="仿宋_GB2312" w:eastAsia="仿宋_GB2312"/>
          <w:szCs w:val="32"/>
        </w:rPr>
        <w:t>万元。与</w:t>
      </w:r>
      <w:r>
        <w:rPr>
          <w:rFonts w:hint="eastAsia" w:ascii="仿宋_GB2312" w:eastAsia="仿宋_GB2312"/>
          <w:szCs w:val="32"/>
          <w:lang w:eastAsia="zh-CN"/>
        </w:rPr>
        <w:t>2018</w:t>
      </w:r>
      <w:r>
        <w:rPr>
          <w:rFonts w:hint="eastAsia" w:ascii="仿宋_GB2312" w:eastAsia="仿宋_GB2312"/>
          <w:szCs w:val="32"/>
        </w:rPr>
        <w:t>年相比，收、支总计各</w:t>
      </w:r>
      <w:r>
        <w:rPr>
          <w:rFonts w:hint="eastAsia" w:ascii="仿宋_GB2312" w:eastAsia="仿宋_GB2312"/>
          <w:szCs w:val="32"/>
          <w:lang w:eastAsia="zh-CN"/>
        </w:rPr>
        <w:t>减少</w:t>
      </w:r>
      <w:r>
        <w:rPr>
          <w:rFonts w:hint="eastAsia" w:ascii="仿宋_GB2312" w:eastAsia="仿宋_GB2312"/>
          <w:szCs w:val="32"/>
          <w:lang w:val="en-US" w:eastAsia="zh-CN"/>
        </w:rPr>
        <w:t>249.13</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54.79</w:t>
      </w:r>
      <w:r>
        <w:rPr>
          <w:rFonts w:hint="eastAsia" w:ascii="仿宋_GB2312" w:eastAsia="仿宋_GB2312"/>
          <w:szCs w:val="32"/>
        </w:rPr>
        <w:t>%。主要是</w:t>
      </w:r>
      <w:r>
        <w:rPr>
          <w:rFonts w:hint="eastAsia" w:ascii="仿宋_GB2312" w:eastAsia="仿宋_GB2312"/>
          <w:szCs w:val="32"/>
          <w:lang w:eastAsia="zh-CN"/>
        </w:rPr>
        <w:t>本年度</w:t>
      </w:r>
      <w:r>
        <w:rPr>
          <w:rFonts w:hint="eastAsia" w:ascii="仿宋_GB2312" w:eastAsia="仿宋_GB2312"/>
          <w:szCs w:val="32"/>
        </w:rPr>
        <w:t>人员</w:t>
      </w:r>
      <w:r>
        <w:rPr>
          <w:rFonts w:hint="eastAsia" w:ascii="仿宋_GB2312" w:eastAsia="仿宋_GB2312"/>
          <w:szCs w:val="32"/>
          <w:lang w:eastAsia="zh-CN"/>
        </w:rPr>
        <w:t>机构合并</w:t>
      </w:r>
      <w:r>
        <w:rPr>
          <w:rFonts w:hint="eastAsia" w:ascii="仿宋_GB2312" w:eastAsia="仿宋_GB2312"/>
          <w:szCs w:val="32"/>
        </w:rPr>
        <w:t>。</w:t>
      </w:r>
    </w:p>
    <w:p>
      <w:pPr>
        <w:ind w:firstLine="632" w:firstLineChars="200"/>
        <w:rPr>
          <w:rFonts w:ascii="黑体" w:hAnsi="黑体" w:eastAsia="黑体"/>
          <w:szCs w:val="32"/>
        </w:rPr>
      </w:pPr>
      <w:r>
        <w:rPr>
          <w:rFonts w:hint="eastAsia" w:ascii="楷体_GB2312" w:eastAsia="楷体_GB2312"/>
          <w:sz w:val="32"/>
          <w:szCs w:val="32"/>
          <w:lang w:eastAsia="zh-CN"/>
        </w:rPr>
        <w:pict>
          <v:shape id="_x0000_s2050" o:spid="_x0000_s2050" o:spt="75" type="#_x0000_t75" style="position:absolute;left:0pt;margin-left:-5.05pt;margin-top:4.1pt;height:320.25pt;width:450.35pt;mso-wrap-distance-bottom:0pt;mso-wrap-distance-left:9pt;mso-wrap-distance-right:9pt;mso-wrap-distance-top:0pt;z-index:251659264;mso-width-relative:page;mso-height-relative:page;" o:ole="t" filled="f" o:preferrelative="t" stroked="f" coordsize="21600,21600">
            <v:path/>
            <v:fill on="f" focussize="0,0"/>
            <v:stroke on="f"/>
            <v:imagedata r:id="rId7" o:title=""/>
            <o:lock v:ext="edit" aspectratio="t"/>
            <w10:wrap type="square"/>
          </v:shape>
          <o:OLEObject Type="Embed" ProgID="Excel.Chart.8" ShapeID="_x0000_s2050" DrawAspect="Content" ObjectID="_1468075725" r:id="rId6">
            <o:LockedField>false</o:LockedField>
          </o:OLEObject>
        </w:pict>
      </w:r>
      <w:r>
        <w:rPr>
          <w:rFonts w:hint="eastAsia" w:ascii="黑体" w:hAnsi="黑体" w:eastAsia="黑体"/>
          <w:szCs w:val="32"/>
        </w:rPr>
        <w:t>二、收入决算情况说明</w:t>
      </w:r>
    </w:p>
    <w:p>
      <w:pPr>
        <w:ind w:firstLine="632" w:firstLineChars="200"/>
        <w:rPr>
          <w:rFonts w:hint="eastAsia" w:ascii="仿宋_GB2312" w:eastAsia="仿宋_GB2312"/>
          <w:szCs w:val="32"/>
          <w:lang w:val="en-US" w:eastAsia="zh-CN"/>
        </w:rPr>
      </w:pPr>
      <w:r>
        <w:rPr>
          <w:rFonts w:hint="eastAsia" w:ascii="仿宋_GB2312" w:eastAsia="仿宋_GB2312"/>
          <w:szCs w:val="32"/>
        </w:rPr>
        <w:t>本年收入合计</w:t>
      </w:r>
      <w:r>
        <w:rPr>
          <w:rFonts w:hint="eastAsia" w:ascii="仿宋_GB2312" w:eastAsia="仿宋_GB2312"/>
          <w:szCs w:val="32"/>
          <w:lang w:val="en-US" w:eastAsia="zh-CN"/>
        </w:rPr>
        <w:t>205.58</w:t>
      </w:r>
      <w:r>
        <w:rPr>
          <w:rFonts w:hint="eastAsia" w:ascii="仿宋_GB2312" w:eastAsia="仿宋_GB2312"/>
          <w:szCs w:val="32"/>
        </w:rPr>
        <w:t>万元，其中：财政拨款收入</w:t>
      </w:r>
      <w:r>
        <w:rPr>
          <w:rFonts w:hint="eastAsia" w:ascii="仿宋_GB2312" w:eastAsia="仿宋_GB2312"/>
          <w:szCs w:val="32"/>
          <w:lang w:val="en-US" w:eastAsia="zh-CN"/>
        </w:rPr>
        <w:t>205.58</w:t>
      </w:r>
      <w:r>
        <w:rPr>
          <w:rFonts w:hint="eastAsia" w:ascii="仿宋_GB2312" w:eastAsia="仿宋_GB2312"/>
          <w:szCs w:val="32"/>
        </w:rPr>
        <w:t>万元，占</w:t>
      </w:r>
      <w:r>
        <w:rPr>
          <w:rFonts w:hint="eastAsia" w:ascii="仿宋_GB2312" w:eastAsia="仿宋_GB2312"/>
          <w:szCs w:val="32"/>
          <w:lang w:val="en-US" w:eastAsia="zh-CN"/>
        </w:rPr>
        <w:t>100</w:t>
      </w:r>
      <w:r>
        <w:rPr>
          <w:rFonts w:hint="eastAsia" w:ascii="仿宋_GB2312" w:eastAsia="仿宋_GB2312"/>
          <w:szCs w:val="32"/>
        </w:rPr>
        <w:t>%。</w:t>
      </w:r>
      <w:r>
        <w:rPr>
          <w:rFonts w:hint="eastAsia" w:ascii="仿宋_GB2312" w:eastAsia="仿宋_GB2312"/>
          <w:szCs w:val="32"/>
          <w:lang w:val="en-US" w:eastAsia="zh-CN"/>
        </w:rPr>
        <w:t xml:space="preserve">  </w:t>
      </w:r>
    </w:p>
    <w:p>
      <w:pPr>
        <w:ind w:firstLine="632" w:firstLineChars="200"/>
        <w:rPr>
          <w:rFonts w:hint="default" w:ascii="仿宋_GB2312" w:eastAsia="仿宋_GB2312"/>
          <w:szCs w:val="32"/>
          <w:lang w:val="en-US" w:eastAsia="zh-CN"/>
        </w:rPr>
      </w:pPr>
    </w:p>
    <w:p>
      <w:pPr>
        <w:ind w:firstLine="632" w:firstLineChars="200"/>
        <w:rPr>
          <w:rFonts w:hint="eastAsia" w:ascii="仿宋_GB2312" w:eastAsia="仿宋_GB2312"/>
          <w:szCs w:val="32"/>
        </w:rPr>
      </w:pPr>
    </w:p>
    <w:p>
      <w:pPr>
        <w:ind w:firstLine="632" w:firstLineChars="200"/>
        <w:rPr>
          <w:rFonts w:hint="eastAsia" w:ascii="仿宋_GB2312" w:eastAsia="仿宋_GB2312"/>
          <w:szCs w:val="32"/>
        </w:rPr>
      </w:pPr>
    </w:p>
    <w:p>
      <w:pPr>
        <w:ind w:firstLine="632" w:firstLineChars="200"/>
        <w:rPr>
          <w:rFonts w:hint="eastAsia" w:ascii="仿宋_GB2312" w:eastAsia="仿宋_GB2312"/>
          <w:szCs w:val="32"/>
        </w:rPr>
      </w:pPr>
    </w:p>
    <w:p>
      <w:pPr>
        <w:ind w:firstLine="632" w:firstLineChars="200"/>
        <w:rPr>
          <w:rFonts w:hint="eastAsia" w:ascii="仿宋_GB2312" w:eastAsia="仿宋_GB2312"/>
          <w:szCs w:val="32"/>
        </w:rPr>
      </w:pPr>
      <w:r>
        <w:rPr>
          <w:rFonts w:hint="eastAsia" w:ascii="楷体_GB2312" w:eastAsia="楷体_GB2312"/>
          <w:sz w:val="32"/>
          <w:szCs w:val="32"/>
          <w:lang w:eastAsia="zh-CN"/>
        </w:rPr>
        <w:pict>
          <v:shape id="_x0000_s2051" o:spid="_x0000_s2051" o:spt="75" type="#_x0000_t75" style="position:absolute;left:0pt;margin-left:20.95pt;margin-top:-21.5pt;height:295.65pt;width:423.1pt;z-index:-251656192;mso-width-relative:page;mso-height-relative:page;" o:ole="t" filled="f" o:preferrelative="t" stroked="f" coordsize="21600,21600">
            <v:path/>
            <v:fill on="f" focussize="0,0"/>
            <v:stroke on="f"/>
            <v:imagedata r:id="rId9" o:title=""/>
            <o:lock v:ext="edit" aspectratio="t"/>
          </v:shape>
          <o:OLEObject Type="Embed" ProgID="Excel.Chart.8" ShapeID="_x0000_s2051" DrawAspect="Content" ObjectID="_1468075726" r:id="rId8">
            <o:LockedField>false</o:LockedField>
          </o:OLEObject>
        </w:pict>
      </w:r>
    </w:p>
    <w:p>
      <w:pPr>
        <w:ind w:firstLine="632" w:firstLineChars="200"/>
        <w:rPr>
          <w:rFonts w:hint="eastAsia" w:ascii="仿宋_GB2312" w:eastAsia="仿宋_GB2312"/>
          <w:szCs w:val="32"/>
        </w:rPr>
      </w:pPr>
    </w:p>
    <w:p>
      <w:pPr>
        <w:ind w:firstLine="632" w:firstLineChars="200"/>
        <w:rPr>
          <w:rFonts w:hint="eastAsia" w:ascii="仿宋_GB2312" w:eastAsia="仿宋_GB2312"/>
          <w:szCs w:val="32"/>
        </w:rPr>
      </w:pPr>
    </w:p>
    <w:p>
      <w:pPr>
        <w:ind w:firstLine="632" w:firstLineChars="200"/>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ascii="黑体" w:hAnsi="黑体" w:eastAsia="黑体"/>
          <w:szCs w:val="32"/>
        </w:rPr>
      </w:pPr>
      <w:r>
        <w:rPr>
          <w:rFonts w:hint="eastAsia" w:ascii="黑体" w:hAnsi="黑体" w:eastAsia="黑体"/>
          <w:szCs w:val="32"/>
        </w:rPr>
        <w:t>三、支出决算情况说明</w:t>
      </w:r>
    </w:p>
    <w:p>
      <w:pPr>
        <w:ind w:firstLine="632" w:firstLineChars="200"/>
        <w:rPr>
          <w:rFonts w:hint="eastAsia" w:ascii="仿宋_GB2312" w:eastAsia="仿宋_GB2312"/>
          <w:szCs w:val="32"/>
        </w:rPr>
      </w:pPr>
      <w:r>
        <w:rPr>
          <w:rFonts w:hint="eastAsia" w:ascii="仿宋_GB2312" w:eastAsia="仿宋_GB2312"/>
          <w:b/>
          <w:sz w:val="32"/>
          <w:szCs w:val="32"/>
          <w:lang w:eastAsia="zh-CN"/>
        </w:rPr>
        <w:pict>
          <v:shape id="_x0000_s2052" o:spid="_x0000_s2052" o:spt="75" type="#_x0000_t75" style="position:absolute;left:0pt;margin-left:4.2pt;margin-top:77.15pt;height:276.9pt;width:463.65pt;mso-wrap-distance-bottom:0pt;mso-wrap-distance-top:0pt;z-index:251661312;mso-width-relative:page;mso-height-relative:page;" o:ole="t" filled="f" o:preferrelative="t" stroked="f" coordsize="21600,21600">
            <v:path/>
            <v:fill on="f" focussize="0,0"/>
            <v:stroke on="f"/>
            <v:imagedata r:id="rId11" o:title=""/>
            <o:lock v:ext="edit" aspectratio="t"/>
            <w10:wrap type="topAndBottom"/>
          </v:shape>
          <o:OLEObject Type="Embed" ProgID="Excel.Chart.8" ShapeID="_x0000_s2052" DrawAspect="Content" ObjectID="_1468075727" r:id="rId10">
            <o:LockedField>false</o:LockedField>
          </o:OLEObject>
        </w:pict>
      </w:r>
      <w:r>
        <w:rPr>
          <w:rFonts w:hint="eastAsia" w:ascii="仿宋_GB2312" w:eastAsia="仿宋_GB2312"/>
          <w:szCs w:val="32"/>
        </w:rPr>
        <w:t>本年支出合计</w:t>
      </w:r>
      <w:r>
        <w:rPr>
          <w:rFonts w:hint="eastAsia" w:ascii="仿宋_GB2312" w:eastAsia="仿宋_GB2312"/>
          <w:szCs w:val="32"/>
          <w:lang w:val="en-US" w:eastAsia="zh-CN"/>
        </w:rPr>
        <w:t>205.58</w:t>
      </w:r>
      <w:r>
        <w:rPr>
          <w:rFonts w:hint="eastAsia" w:ascii="仿宋_GB2312" w:eastAsia="仿宋_GB2312"/>
          <w:szCs w:val="32"/>
        </w:rPr>
        <w:t>万元，其中：基本支出</w:t>
      </w:r>
      <w:r>
        <w:rPr>
          <w:rFonts w:hint="eastAsia" w:ascii="仿宋_GB2312" w:eastAsia="仿宋_GB2312"/>
          <w:szCs w:val="32"/>
          <w:lang w:val="en-US" w:eastAsia="zh-CN"/>
        </w:rPr>
        <w:t>195.51</w:t>
      </w:r>
      <w:r>
        <w:rPr>
          <w:rFonts w:hint="eastAsia" w:ascii="仿宋_GB2312" w:eastAsia="仿宋_GB2312"/>
          <w:szCs w:val="32"/>
        </w:rPr>
        <w:t>万元，占</w:t>
      </w:r>
      <w:r>
        <w:rPr>
          <w:rFonts w:hint="eastAsia" w:ascii="仿宋_GB2312" w:eastAsia="仿宋_GB2312"/>
          <w:szCs w:val="32"/>
          <w:lang w:val="en-US" w:eastAsia="zh-CN"/>
        </w:rPr>
        <w:t>95.1</w:t>
      </w:r>
      <w:r>
        <w:rPr>
          <w:rFonts w:hint="eastAsia" w:ascii="仿宋_GB2312" w:eastAsia="仿宋_GB2312"/>
          <w:szCs w:val="32"/>
        </w:rPr>
        <w:t>%；项目支出</w:t>
      </w:r>
      <w:r>
        <w:rPr>
          <w:rFonts w:hint="eastAsia" w:ascii="仿宋_GB2312" w:eastAsia="仿宋_GB2312"/>
          <w:szCs w:val="32"/>
          <w:lang w:val="en-US" w:eastAsia="zh-CN"/>
        </w:rPr>
        <w:t>10.07</w:t>
      </w:r>
      <w:r>
        <w:rPr>
          <w:rFonts w:hint="eastAsia" w:ascii="仿宋_GB2312" w:eastAsia="仿宋_GB2312"/>
          <w:szCs w:val="32"/>
        </w:rPr>
        <w:t>万元，占</w:t>
      </w:r>
      <w:r>
        <w:rPr>
          <w:rFonts w:hint="eastAsia" w:ascii="仿宋_GB2312" w:eastAsia="仿宋_GB2312"/>
          <w:szCs w:val="32"/>
          <w:lang w:val="en-US" w:eastAsia="zh-CN"/>
        </w:rPr>
        <w:t>4.9</w:t>
      </w:r>
      <w:r>
        <w:rPr>
          <w:rFonts w:hint="eastAsia" w:ascii="仿宋_GB2312" w:eastAsia="仿宋_GB2312"/>
          <w:szCs w:val="32"/>
        </w:rPr>
        <w:t>%。</w:t>
      </w:r>
    </w:p>
    <w:p>
      <w:pPr>
        <w:ind w:firstLine="632" w:firstLineChars="200"/>
        <w:rPr>
          <w:rFonts w:ascii="黑体" w:hAnsi="黑体" w:eastAsia="黑体"/>
          <w:szCs w:val="32"/>
        </w:rPr>
      </w:pPr>
      <w:r>
        <w:rPr>
          <w:rFonts w:hint="eastAsia" w:ascii="黑体" w:hAnsi="黑体" w:eastAsia="黑体"/>
          <w:szCs w:val="32"/>
        </w:rPr>
        <w:t>四、财政拨款收入支出决算总体情况说明</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年度财政拨款收、支总计</w:t>
      </w:r>
      <w:r>
        <w:rPr>
          <w:rFonts w:hint="eastAsia" w:ascii="仿宋_GB2312" w:eastAsia="仿宋_GB2312"/>
          <w:szCs w:val="32"/>
          <w:lang w:val="en-US" w:eastAsia="zh-CN"/>
        </w:rPr>
        <w:t>205.58</w:t>
      </w:r>
      <w:r>
        <w:rPr>
          <w:rFonts w:hint="eastAsia" w:ascii="仿宋_GB2312" w:eastAsia="仿宋_GB2312"/>
          <w:szCs w:val="32"/>
        </w:rPr>
        <w:t>万元。与</w:t>
      </w:r>
      <w:r>
        <w:rPr>
          <w:rFonts w:hint="eastAsia" w:ascii="仿宋_GB2312" w:eastAsia="仿宋_GB2312"/>
          <w:szCs w:val="32"/>
          <w:lang w:eastAsia="zh-CN"/>
        </w:rPr>
        <w:t>2018</w:t>
      </w:r>
      <w:r>
        <w:rPr>
          <w:rFonts w:hint="eastAsia" w:ascii="仿宋_GB2312" w:eastAsia="仿宋_GB2312"/>
          <w:szCs w:val="32"/>
        </w:rPr>
        <w:t>年相比，财政拨款收、支总计各</w:t>
      </w:r>
      <w:r>
        <w:rPr>
          <w:rFonts w:hint="eastAsia" w:ascii="仿宋_GB2312" w:eastAsia="仿宋_GB2312"/>
          <w:szCs w:val="32"/>
          <w:lang w:eastAsia="zh-CN"/>
        </w:rPr>
        <w:t>减少</w:t>
      </w:r>
      <w:r>
        <w:rPr>
          <w:rFonts w:hint="eastAsia" w:ascii="仿宋_GB2312" w:eastAsia="仿宋_GB2312"/>
          <w:szCs w:val="32"/>
          <w:lang w:val="en-US" w:eastAsia="zh-CN"/>
        </w:rPr>
        <w:t>249.13</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54.79</w:t>
      </w:r>
      <w:r>
        <w:rPr>
          <w:rFonts w:hint="eastAsia" w:ascii="仿宋_GB2312" w:eastAsia="仿宋_GB2312"/>
          <w:szCs w:val="32"/>
        </w:rPr>
        <w:t>%。主要是</w:t>
      </w:r>
      <w:r>
        <w:rPr>
          <w:rFonts w:hint="eastAsia" w:ascii="仿宋_GB2312" w:eastAsia="仿宋_GB2312"/>
          <w:szCs w:val="32"/>
          <w:lang w:eastAsia="zh-CN"/>
        </w:rPr>
        <w:t>本年度</w:t>
      </w:r>
      <w:r>
        <w:rPr>
          <w:rFonts w:hint="eastAsia" w:ascii="仿宋_GB2312" w:eastAsia="仿宋_GB2312"/>
          <w:szCs w:val="32"/>
        </w:rPr>
        <w:t>人员</w:t>
      </w:r>
      <w:r>
        <w:rPr>
          <w:rFonts w:hint="eastAsia" w:ascii="仿宋_GB2312" w:eastAsia="仿宋_GB2312"/>
          <w:szCs w:val="32"/>
          <w:lang w:eastAsia="zh-CN"/>
        </w:rPr>
        <w:t>机构合并</w:t>
      </w:r>
      <w:r>
        <w:rPr>
          <w:rFonts w:hint="eastAsia" w:ascii="仿宋_GB2312" w:eastAsia="仿宋_GB2312"/>
          <w:szCs w:val="32"/>
        </w:rPr>
        <w:t>。</w:t>
      </w:r>
    </w:p>
    <w:p>
      <w:pPr>
        <w:ind w:firstLine="632" w:firstLineChars="200"/>
        <w:rPr>
          <w:rFonts w:hint="eastAsia" w:ascii="仿宋_GB2312" w:eastAsia="仿宋_GB2312"/>
          <w:szCs w:val="32"/>
        </w:rPr>
      </w:pPr>
    </w:p>
    <w:p>
      <w:pPr>
        <w:ind w:firstLine="632" w:firstLineChars="200"/>
        <w:jc w:val="left"/>
        <w:rPr>
          <w:rFonts w:ascii="黑体" w:hAnsi="黑体" w:eastAsia="黑体"/>
          <w:szCs w:val="32"/>
        </w:rPr>
      </w:pPr>
      <w:r>
        <w:rPr>
          <w:rFonts w:hint="eastAsia" w:ascii="楷体_GB2312" w:eastAsia="楷体_GB2312"/>
          <w:sz w:val="32"/>
          <w:szCs w:val="32"/>
          <w:lang w:eastAsia="zh-CN"/>
        </w:rPr>
        <w:pict>
          <v:shape id="_x0000_s2053" o:spid="_x0000_s2053" o:spt="75" type="#_x0000_t75" style="position:absolute;left:0pt;margin-left:-4.05pt;margin-top:7.1pt;height:306.25pt;width:446.55pt;mso-wrap-distance-bottom:0pt;mso-wrap-distance-left:9pt;mso-wrap-distance-right:9pt;mso-wrap-distance-top:0pt;z-index:251662336;mso-width-relative:page;mso-height-relative:page;" o:ole="t" filled="f" o:preferrelative="t" stroked="f" coordsize="21600,21600">
            <v:path/>
            <v:fill on="f" focussize="0,0"/>
            <v:stroke on="f"/>
            <v:imagedata r:id="rId13" o:title=""/>
            <o:lock v:ext="edit" aspectratio="t"/>
            <w10:wrap type="square"/>
          </v:shape>
          <o:OLEObject Type="Embed" ProgID="Excel.Chart.8" ShapeID="_x0000_s2053" DrawAspect="Content" ObjectID="_1468075728" r:id="rId12">
            <o:LockedField>false</o:LockedField>
          </o:OLEObject>
        </w:pict>
      </w:r>
      <w:r>
        <w:rPr>
          <w:rFonts w:hint="eastAsia" w:ascii="黑体" w:hAnsi="黑体" w:eastAsia="黑体"/>
          <w:szCs w:val="32"/>
        </w:rPr>
        <w:t>五、一般公共预算财政拨款支出决算情况说明</w:t>
      </w:r>
    </w:p>
    <w:p>
      <w:pPr>
        <w:ind w:firstLine="632" w:firstLineChars="200"/>
        <w:rPr>
          <w:rFonts w:ascii="楷体_GB2312" w:eastAsia="楷体_GB2312"/>
          <w:szCs w:val="32"/>
        </w:rPr>
      </w:pPr>
      <w:r>
        <w:rPr>
          <w:rFonts w:hint="eastAsia" w:ascii="楷体_GB2312" w:eastAsia="楷体_GB2312"/>
          <w:szCs w:val="32"/>
        </w:rPr>
        <w:t>（一）一般公共预算财政拨款支出决算总体情况</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年度一般公共预算财政拨款支出</w:t>
      </w:r>
      <w:r>
        <w:rPr>
          <w:rFonts w:hint="eastAsia" w:ascii="仿宋_GB2312" w:eastAsia="仿宋_GB2312"/>
          <w:szCs w:val="32"/>
          <w:lang w:val="en-US" w:eastAsia="zh-CN"/>
        </w:rPr>
        <w:t>205.58</w:t>
      </w:r>
      <w:r>
        <w:rPr>
          <w:rFonts w:hint="eastAsia" w:ascii="仿宋_GB2312" w:eastAsia="仿宋_GB2312"/>
          <w:szCs w:val="32"/>
        </w:rPr>
        <w:t>万元，占本年支出合计的</w:t>
      </w:r>
      <w:r>
        <w:rPr>
          <w:rFonts w:hint="eastAsia" w:ascii="仿宋_GB2312" w:eastAsia="仿宋_GB2312"/>
          <w:szCs w:val="32"/>
          <w:lang w:val="en-US" w:eastAsia="zh-CN"/>
        </w:rPr>
        <w:t>100</w:t>
      </w:r>
      <w:r>
        <w:rPr>
          <w:rFonts w:hint="eastAsia" w:ascii="仿宋_GB2312" w:eastAsia="仿宋_GB2312"/>
          <w:szCs w:val="32"/>
        </w:rPr>
        <w:t>%。与</w:t>
      </w:r>
      <w:r>
        <w:rPr>
          <w:rFonts w:hint="eastAsia" w:ascii="仿宋_GB2312" w:eastAsia="仿宋_GB2312"/>
          <w:szCs w:val="32"/>
          <w:lang w:eastAsia="zh-CN"/>
        </w:rPr>
        <w:t>2018</w:t>
      </w:r>
      <w:r>
        <w:rPr>
          <w:rFonts w:hint="eastAsia" w:ascii="仿宋_GB2312" w:eastAsia="仿宋_GB2312"/>
          <w:szCs w:val="32"/>
        </w:rPr>
        <w:t>年相比，一般公共预算财政拨款支出</w:t>
      </w:r>
      <w:r>
        <w:rPr>
          <w:rFonts w:hint="eastAsia" w:ascii="仿宋_GB2312" w:eastAsia="仿宋_GB2312"/>
          <w:szCs w:val="32"/>
          <w:lang w:eastAsia="zh-CN"/>
        </w:rPr>
        <w:t>减少</w:t>
      </w:r>
      <w:r>
        <w:rPr>
          <w:rFonts w:hint="eastAsia" w:ascii="仿宋_GB2312" w:eastAsia="仿宋_GB2312"/>
          <w:szCs w:val="32"/>
          <w:lang w:val="en-US" w:eastAsia="zh-CN"/>
        </w:rPr>
        <w:t>249.13</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54.79</w:t>
      </w:r>
      <w:r>
        <w:rPr>
          <w:rFonts w:hint="eastAsia" w:ascii="仿宋_GB2312" w:eastAsia="仿宋_GB2312"/>
          <w:szCs w:val="32"/>
        </w:rPr>
        <w:t>%。主要是</w:t>
      </w:r>
      <w:r>
        <w:rPr>
          <w:rFonts w:hint="eastAsia" w:ascii="仿宋_GB2312" w:eastAsia="仿宋_GB2312"/>
          <w:szCs w:val="32"/>
          <w:lang w:eastAsia="zh-CN"/>
        </w:rPr>
        <w:t>本年度</w:t>
      </w:r>
      <w:r>
        <w:rPr>
          <w:rFonts w:hint="eastAsia" w:ascii="仿宋_GB2312" w:eastAsia="仿宋_GB2312"/>
          <w:szCs w:val="32"/>
        </w:rPr>
        <w:t>人员</w:t>
      </w:r>
      <w:r>
        <w:rPr>
          <w:rFonts w:hint="eastAsia" w:ascii="仿宋_GB2312" w:eastAsia="仿宋_GB2312"/>
          <w:szCs w:val="32"/>
          <w:lang w:eastAsia="zh-CN"/>
        </w:rPr>
        <w:t>机构合并</w:t>
      </w:r>
      <w:r>
        <w:rPr>
          <w:rFonts w:hint="eastAsia" w:ascii="仿宋_GB2312" w:eastAsia="仿宋_GB2312"/>
          <w:szCs w:val="32"/>
        </w:rPr>
        <w:t>。</w:t>
      </w:r>
    </w:p>
    <w:p>
      <w:pPr>
        <w:ind w:firstLine="632" w:firstLineChars="200"/>
        <w:rPr>
          <w:rFonts w:ascii="楷体_GB2312" w:eastAsia="楷体_GB2312"/>
          <w:szCs w:val="32"/>
        </w:rPr>
      </w:pPr>
      <w:r>
        <w:rPr>
          <w:rFonts w:hint="eastAsia" w:ascii="楷体_GB2312" w:eastAsia="楷体_GB2312"/>
          <w:sz w:val="32"/>
          <w:szCs w:val="32"/>
          <w:lang w:eastAsia="zh-CN"/>
        </w:rPr>
        <w:pict>
          <v:shape id="_x0000_s2054" o:spid="_x0000_s2054" o:spt="75" type="#_x0000_t75" style="position:absolute;left:0pt;margin-left:-11.7pt;margin-top:20.6pt;height:322.75pt;width:451.6pt;mso-wrap-distance-bottom:0pt;mso-wrap-distance-left:9pt;mso-wrap-distance-right:9pt;mso-wrap-distance-top:0pt;z-index:251663360;mso-width-relative:page;mso-height-relative:page;" o:ole="t" filled="f" o:preferrelative="t" stroked="f" coordsize="21600,21600">
            <v:path/>
            <v:fill on="f" focussize="0,0"/>
            <v:stroke on="f"/>
            <v:imagedata r:id="rId15" o:title=""/>
            <o:lock v:ext="edit" aspectratio="t"/>
            <w10:wrap type="square"/>
          </v:shape>
          <o:OLEObject Type="Embed" ProgID="Excel.Chart.8" ShapeID="_x0000_s2054" DrawAspect="Content" ObjectID="_1468075729" r:id="rId14">
            <o:LockedField>false</o:LockedField>
          </o:OLEObject>
        </w:pict>
      </w:r>
      <w:r>
        <w:rPr>
          <w:rFonts w:hint="eastAsia" w:ascii="楷体_GB2312" w:eastAsia="楷体_GB2312"/>
          <w:szCs w:val="32"/>
        </w:rPr>
        <w:t>（二）一般公共预算财政拨款支出决算结构情况</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年度一般公共预算财政拨款支出</w:t>
      </w:r>
      <w:r>
        <w:rPr>
          <w:rFonts w:hint="eastAsia" w:ascii="仿宋_GB2312" w:eastAsia="仿宋_GB2312"/>
          <w:szCs w:val="32"/>
          <w:lang w:val="en-US" w:eastAsia="zh-CN"/>
        </w:rPr>
        <w:t>205.58</w:t>
      </w:r>
      <w:r>
        <w:rPr>
          <w:rFonts w:hint="eastAsia" w:ascii="仿宋_GB2312" w:eastAsia="仿宋_GB2312"/>
          <w:szCs w:val="32"/>
        </w:rPr>
        <w:t>万元，主要用于以下方面：</w:t>
      </w:r>
      <w:r>
        <w:rPr>
          <w:rFonts w:hint="eastAsia" w:ascii="仿宋_GB2312" w:eastAsia="仿宋_GB2312"/>
          <w:sz w:val="32"/>
          <w:szCs w:val="32"/>
        </w:rPr>
        <w:t>一般公共服务（类）支出</w:t>
      </w:r>
      <w:r>
        <w:rPr>
          <w:rFonts w:hint="eastAsia" w:ascii="仿宋_GB2312" w:eastAsia="仿宋_GB2312"/>
          <w:sz w:val="32"/>
          <w:szCs w:val="32"/>
          <w:lang w:val="en-US" w:eastAsia="zh-CN"/>
        </w:rPr>
        <w:t>173.70</w:t>
      </w:r>
      <w:r>
        <w:rPr>
          <w:rFonts w:hint="eastAsia" w:ascii="仿宋_GB2312" w:eastAsia="仿宋_GB2312"/>
          <w:sz w:val="32"/>
          <w:szCs w:val="32"/>
        </w:rPr>
        <w:t>万元，占</w:t>
      </w:r>
      <w:r>
        <w:rPr>
          <w:rFonts w:hint="eastAsia" w:ascii="仿宋_GB2312" w:eastAsia="仿宋_GB2312"/>
          <w:sz w:val="32"/>
          <w:szCs w:val="32"/>
          <w:lang w:val="en-US" w:eastAsia="zh-CN"/>
        </w:rPr>
        <w:t>84.49</w:t>
      </w:r>
      <w:r>
        <w:rPr>
          <w:rFonts w:hint="eastAsia" w:ascii="仿宋_GB2312" w:eastAsia="仿宋_GB2312"/>
          <w:sz w:val="32"/>
          <w:szCs w:val="32"/>
        </w:rPr>
        <w:t>%；</w:t>
      </w:r>
      <w:r>
        <w:rPr>
          <w:rFonts w:hint="eastAsia" w:ascii="仿宋_GB2312" w:eastAsia="仿宋_GB2312"/>
          <w:sz w:val="32"/>
          <w:szCs w:val="32"/>
          <w:lang w:eastAsia="zh-CN"/>
        </w:rPr>
        <w:t>社会保障和就业</w:t>
      </w:r>
      <w:r>
        <w:rPr>
          <w:rFonts w:hint="eastAsia" w:ascii="仿宋_GB2312" w:eastAsia="仿宋_GB2312"/>
          <w:sz w:val="32"/>
          <w:szCs w:val="32"/>
        </w:rPr>
        <w:t>支出</w:t>
      </w:r>
      <w:r>
        <w:rPr>
          <w:rFonts w:hint="eastAsia" w:ascii="仿宋_GB2312" w:eastAsia="仿宋_GB2312"/>
          <w:sz w:val="32"/>
          <w:szCs w:val="32"/>
          <w:lang w:val="en-US" w:eastAsia="zh-CN"/>
        </w:rPr>
        <w:t>14.18</w:t>
      </w:r>
      <w:r>
        <w:rPr>
          <w:rFonts w:hint="eastAsia" w:ascii="仿宋_GB2312" w:eastAsia="仿宋_GB2312"/>
          <w:sz w:val="32"/>
          <w:szCs w:val="32"/>
        </w:rPr>
        <w:t>万元，占</w:t>
      </w:r>
      <w:r>
        <w:rPr>
          <w:rFonts w:hint="eastAsia" w:ascii="仿宋_GB2312" w:eastAsia="仿宋_GB2312"/>
          <w:sz w:val="32"/>
          <w:szCs w:val="32"/>
          <w:lang w:val="en-US" w:eastAsia="zh-CN"/>
        </w:rPr>
        <w:t>6.9</w:t>
      </w:r>
      <w:r>
        <w:rPr>
          <w:rFonts w:hint="eastAsia" w:ascii="仿宋_GB2312" w:eastAsia="仿宋_GB2312"/>
          <w:sz w:val="32"/>
          <w:szCs w:val="32"/>
        </w:rPr>
        <w:t>%；</w:t>
      </w:r>
      <w:r>
        <w:rPr>
          <w:rFonts w:hint="eastAsia" w:ascii="仿宋_GB2312" w:eastAsia="仿宋_GB2312"/>
          <w:sz w:val="32"/>
          <w:szCs w:val="32"/>
          <w:lang w:eastAsia="zh-CN"/>
        </w:rPr>
        <w:t>医疗卫生与计划生育</w:t>
      </w:r>
      <w:r>
        <w:rPr>
          <w:rFonts w:hint="eastAsia" w:ascii="仿宋_GB2312" w:eastAsia="仿宋_GB2312"/>
          <w:sz w:val="32"/>
          <w:szCs w:val="32"/>
        </w:rPr>
        <w:t>支出</w:t>
      </w:r>
      <w:r>
        <w:rPr>
          <w:rFonts w:hint="eastAsia" w:ascii="仿宋_GB2312" w:eastAsia="仿宋_GB2312"/>
          <w:sz w:val="32"/>
          <w:szCs w:val="32"/>
          <w:lang w:val="en-US" w:eastAsia="zh-CN"/>
        </w:rPr>
        <w:t>7.31</w:t>
      </w:r>
      <w:r>
        <w:rPr>
          <w:rFonts w:hint="eastAsia" w:ascii="仿宋_GB2312" w:eastAsia="仿宋_GB2312"/>
          <w:sz w:val="32"/>
          <w:szCs w:val="32"/>
        </w:rPr>
        <w:t>万元，占</w:t>
      </w:r>
      <w:r>
        <w:rPr>
          <w:rFonts w:hint="eastAsia" w:ascii="仿宋_GB2312" w:eastAsia="仿宋_GB2312"/>
          <w:sz w:val="32"/>
          <w:szCs w:val="32"/>
          <w:lang w:val="en-US" w:eastAsia="zh-CN"/>
        </w:rPr>
        <w:t>3.56</w:t>
      </w:r>
      <w:r>
        <w:rPr>
          <w:rFonts w:hint="eastAsia" w:ascii="仿宋_GB2312" w:eastAsia="仿宋_GB2312"/>
          <w:sz w:val="32"/>
          <w:szCs w:val="32"/>
        </w:rPr>
        <w:t>%；</w:t>
      </w:r>
      <w:r>
        <w:rPr>
          <w:rFonts w:hint="eastAsia" w:ascii="仿宋_GB2312" w:eastAsia="仿宋_GB2312"/>
          <w:sz w:val="32"/>
          <w:szCs w:val="32"/>
          <w:lang w:eastAsia="zh-CN"/>
        </w:rPr>
        <w:t>住房保障</w:t>
      </w:r>
      <w:r>
        <w:rPr>
          <w:rFonts w:hint="eastAsia" w:ascii="仿宋_GB2312" w:eastAsia="仿宋_GB2312"/>
          <w:sz w:val="32"/>
          <w:szCs w:val="32"/>
        </w:rPr>
        <w:t>支出</w:t>
      </w:r>
      <w:r>
        <w:rPr>
          <w:rFonts w:hint="eastAsia" w:ascii="仿宋_GB2312" w:eastAsia="仿宋_GB2312"/>
          <w:sz w:val="32"/>
          <w:szCs w:val="32"/>
          <w:lang w:val="en-US" w:eastAsia="zh-CN"/>
        </w:rPr>
        <w:t>10.38</w:t>
      </w:r>
      <w:r>
        <w:rPr>
          <w:rFonts w:hint="eastAsia" w:ascii="仿宋_GB2312" w:eastAsia="仿宋_GB2312"/>
          <w:sz w:val="32"/>
          <w:szCs w:val="32"/>
        </w:rPr>
        <w:t>万元，占</w:t>
      </w:r>
      <w:r>
        <w:rPr>
          <w:rFonts w:hint="eastAsia" w:ascii="仿宋_GB2312" w:eastAsia="仿宋_GB2312"/>
          <w:sz w:val="32"/>
          <w:szCs w:val="32"/>
          <w:lang w:val="en-US" w:eastAsia="zh-CN"/>
        </w:rPr>
        <w:t>5.05</w:t>
      </w:r>
      <w:r>
        <w:rPr>
          <w:rFonts w:hint="eastAsia" w:ascii="仿宋_GB2312" w:eastAsia="仿宋_GB2312"/>
          <w:sz w:val="32"/>
          <w:szCs w:val="32"/>
        </w:rPr>
        <w:t>%</w:t>
      </w:r>
      <w:r>
        <w:rPr>
          <w:rFonts w:hint="eastAsia" w:ascii="仿宋_GB2312" w:eastAsia="仿宋_GB2312"/>
          <w:szCs w:val="32"/>
        </w:rPr>
        <w:t>。</w:t>
      </w:r>
    </w:p>
    <w:p>
      <w:pPr>
        <w:ind w:firstLine="632" w:firstLineChars="200"/>
        <w:rPr>
          <w:rFonts w:hint="eastAsia" w:ascii="仿宋_GB2312" w:eastAsia="仿宋_GB2312"/>
          <w:szCs w:val="32"/>
        </w:rPr>
      </w:pPr>
    </w:p>
    <w:p>
      <w:pPr>
        <w:ind w:firstLine="632" w:firstLineChars="200"/>
        <w:rPr>
          <w:rFonts w:hint="eastAsia" w:ascii="仿宋_GB2312" w:eastAsia="仿宋_GB2312"/>
          <w:szCs w:val="32"/>
        </w:rPr>
      </w:pPr>
    </w:p>
    <w:p>
      <w:pPr>
        <w:ind w:firstLine="632" w:firstLineChars="200"/>
        <w:rPr>
          <w:rFonts w:ascii="楷体_GB2312" w:eastAsia="楷体_GB2312"/>
          <w:szCs w:val="32"/>
        </w:rPr>
      </w:pPr>
      <w:r>
        <w:rPr>
          <w:rFonts w:hint="eastAsia" w:ascii="仿宋_GB2312" w:eastAsia="仿宋_GB2312"/>
          <w:b/>
          <w:sz w:val="32"/>
          <w:szCs w:val="32"/>
          <w:lang w:eastAsia="zh-CN"/>
        </w:rPr>
        <w:pict>
          <v:shape id="_x0000_s2055" o:spid="_x0000_s2055" o:spt="75" type="#_x0000_t75" style="position:absolute;left:0pt;margin-left:-12.95pt;margin-top:13.75pt;height:269.25pt;width:477.75pt;mso-wrap-distance-bottom:0pt;mso-wrap-distance-top:0pt;z-index:251664384;mso-width-relative:page;mso-height-relative:page;" o:ole="t" filled="f" o:preferrelative="t" stroked="f" coordsize="21600,21600">
            <v:path/>
            <v:fill on="f" focussize="0,0"/>
            <v:stroke on="f"/>
            <v:imagedata r:id="rId17" o:title=""/>
            <o:lock v:ext="edit" aspectratio="t"/>
            <w10:wrap type="topAndBottom"/>
          </v:shape>
          <o:OLEObject Type="Embed" ProgID="Excel.Chart.8" ShapeID="_x0000_s2055" DrawAspect="Content" ObjectID="_1468075730" r:id="rId16">
            <o:LockedField>false</o:LockedField>
          </o:OLEObject>
        </w:pict>
      </w:r>
      <w:r>
        <w:rPr>
          <w:rFonts w:hint="eastAsia" w:ascii="楷体_GB2312" w:eastAsia="楷体_GB2312"/>
          <w:szCs w:val="32"/>
        </w:rPr>
        <w:t>（三）一般公共预算财政拨款支出决算具体情况</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年度一般公共预算财政拨款支出年初预算为</w:t>
      </w:r>
      <w:r>
        <w:rPr>
          <w:rFonts w:hint="eastAsia" w:ascii="仿宋_GB2312" w:eastAsia="仿宋_GB2312"/>
          <w:szCs w:val="32"/>
          <w:lang w:val="en-US" w:eastAsia="zh-CN"/>
        </w:rPr>
        <w:t>223.83</w:t>
      </w:r>
      <w:r>
        <w:rPr>
          <w:rFonts w:hint="eastAsia" w:ascii="仿宋_GB2312" w:eastAsia="仿宋_GB2312"/>
          <w:szCs w:val="32"/>
        </w:rPr>
        <w:t>万元，支出决算为</w:t>
      </w:r>
      <w:r>
        <w:rPr>
          <w:rFonts w:hint="eastAsia" w:ascii="仿宋_GB2312" w:eastAsia="仿宋_GB2312"/>
          <w:szCs w:val="32"/>
          <w:lang w:val="en-US" w:eastAsia="zh-CN"/>
        </w:rPr>
        <w:t>205.58</w:t>
      </w:r>
      <w:r>
        <w:rPr>
          <w:rFonts w:hint="eastAsia" w:ascii="仿宋_GB2312" w:eastAsia="仿宋_GB2312"/>
          <w:szCs w:val="32"/>
        </w:rPr>
        <w:t>万元，完成年初预算的</w:t>
      </w:r>
      <w:r>
        <w:rPr>
          <w:rFonts w:hint="eastAsia" w:ascii="仿宋_GB2312" w:eastAsia="仿宋_GB2312"/>
          <w:szCs w:val="32"/>
          <w:lang w:val="en-US" w:eastAsia="zh-CN"/>
        </w:rPr>
        <w:t>91.85%</w:t>
      </w:r>
      <w:r>
        <w:rPr>
          <w:rFonts w:hint="eastAsia" w:ascii="仿宋_GB2312" w:eastAsia="仿宋_GB2312"/>
          <w:szCs w:val="32"/>
        </w:rPr>
        <w:t>。决算数</w:t>
      </w:r>
      <w:r>
        <w:rPr>
          <w:rFonts w:hint="eastAsia" w:ascii="仿宋_GB2312" w:eastAsia="仿宋_GB2312"/>
          <w:szCs w:val="32"/>
          <w:lang w:eastAsia="zh-CN"/>
        </w:rPr>
        <w:t>小</w:t>
      </w:r>
      <w:r>
        <w:rPr>
          <w:rFonts w:hint="eastAsia" w:ascii="仿宋_GB2312" w:eastAsia="仿宋_GB2312"/>
          <w:szCs w:val="32"/>
        </w:rPr>
        <w:t>于年初预算数的主要原因</w:t>
      </w:r>
      <w:r>
        <w:rPr>
          <w:rFonts w:hint="eastAsia" w:ascii="仿宋_GB2312" w:eastAsia="仿宋_GB2312"/>
          <w:szCs w:val="32"/>
          <w:lang w:eastAsia="zh-CN"/>
        </w:rPr>
        <w:t>是本年度人员机构合并</w:t>
      </w:r>
      <w:r>
        <w:rPr>
          <w:rFonts w:hint="eastAsia" w:ascii="仿宋_GB2312" w:eastAsia="仿宋_GB2312"/>
          <w:szCs w:val="32"/>
        </w:rPr>
        <w:t>。其中：</w:t>
      </w:r>
    </w:p>
    <w:p>
      <w:pPr>
        <w:numPr>
          <w:ilvl w:val="0"/>
          <w:numId w:val="0"/>
        </w:numPr>
        <w:spacing w:line="580" w:lineRule="exact"/>
        <w:ind w:firstLine="632" w:firstLineChars="200"/>
        <w:rPr>
          <w:rFonts w:hint="eastAsia" w:ascii="仿宋_GB2312" w:eastAsia="仿宋_GB2312"/>
          <w:color w:val="0000FF"/>
          <w:szCs w:val="32"/>
          <w:highlight w:val="none"/>
          <w:lang w:eastAsia="zh-CN"/>
        </w:rPr>
      </w:pPr>
      <w:r>
        <w:rPr>
          <w:rFonts w:hint="eastAsia" w:ascii="仿宋_GB2312" w:eastAsia="仿宋_GB2312"/>
          <w:color w:val="auto"/>
          <w:sz w:val="32"/>
          <w:szCs w:val="32"/>
          <w:highlight w:val="none"/>
          <w:lang w:val="en-US" w:eastAsia="zh-CN"/>
        </w:rPr>
        <w:t>1、</w:t>
      </w:r>
      <w:r>
        <w:rPr>
          <w:rFonts w:hint="eastAsia" w:ascii="仿宋_GB2312" w:eastAsia="仿宋_GB2312"/>
          <w:color w:val="auto"/>
          <w:sz w:val="32"/>
          <w:szCs w:val="32"/>
          <w:highlight w:val="none"/>
        </w:rPr>
        <w:t>一般公共服务支出（类）发展与改革事务（款）</w:t>
      </w:r>
      <w:r>
        <w:rPr>
          <w:rFonts w:hint="eastAsia" w:ascii="仿宋_GB2312" w:eastAsia="仿宋_GB2312"/>
          <w:color w:val="auto"/>
          <w:sz w:val="32"/>
          <w:szCs w:val="32"/>
          <w:highlight w:val="none"/>
          <w:lang w:eastAsia="zh-CN"/>
        </w:rPr>
        <w:t>行政运行</w:t>
      </w:r>
      <w:r>
        <w:rPr>
          <w:rFonts w:hint="eastAsia" w:ascii="仿宋_GB2312" w:eastAsia="仿宋_GB2312"/>
          <w:color w:val="auto"/>
          <w:sz w:val="32"/>
          <w:szCs w:val="32"/>
          <w:highlight w:val="none"/>
        </w:rPr>
        <w:t>（项）。主要反映用于</w:t>
      </w:r>
      <w:r>
        <w:rPr>
          <w:rFonts w:hint="eastAsia" w:ascii="仿宋_GB2312" w:eastAsia="仿宋_GB2312"/>
          <w:color w:val="auto"/>
          <w:sz w:val="32"/>
          <w:szCs w:val="32"/>
          <w:highlight w:val="none"/>
          <w:lang w:eastAsia="zh-CN"/>
        </w:rPr>
        <w:t>人员工资和日常运行支出</w:t>
      </w:r>
      <w:r>
        <w:rPr>
          <w:rFonts w:hint="eastAsia" w:ascii="仿宋_GB2312" w:eastAsia="仿宋_GB2312"/>
          <w:color w:val="auto"/>
          <w:sz w:val="32"/>
          <w:szCs w:val="32"/>
          <w:highlight w:val="none"/>
        </w:rPr>
        <w:t>。年初预算为</w:t>
      </w:r>
      <w:r>
        <w:rPr>
          <w:rFonts w:hint="eastAsia" w:ascii="仿宋_GB2312" w:eastAsia="仿宋_GB2312"/>
          <w:color w:val="auto"/>
          <w:sz w:val="32"/>
          <w:szCs w:val="32"/>
          <w:highlight w:val="none"/>
          <w:lang w:val="en-US" w:eastAsia="zh-CN"/>
        </w:rPr>
        <w:t>131.79万元</w:t>
      </w:r>
      <w:r>
        <w:rPr>
          <w:rFonts w:hint="eastAsia" w:ascii="仿宋_GB2312" w:eastAsia="仿宋_GB2312"/>
          <w:color w:val="auto"/>
          <w:sz w:val="32"/>
          <w:szCs w:val="32"/>
          <w:highlight w:val="none"/>
        </w:rPr>
        <w:t>，支出</w:t>
      </w:r>
      <w:r>
        <w:rPr>
          <w:rFonts w:hint="eastAsia" w:ascii="仿宋_GB2312" w:eastAsia="仿宋_GB2312"/>
          <w:color w:val="auto"/>
          <w:sz w:val="32"/>
          <w:szCs w:val="32"/>
          <w:highlight w:val="none"/>
          <w:lang w:eastAsia="zh-CN"/>
        </w:rPr>
        <w:t>决</w:t>
      </w:r>
      <w:r>
        <w:rPr>
          <w:rFonts w:hint="eastAsia" w:ascii="仿宋_GB2312" w:eastAsia="仿宋_GB2312"/>
          <w:color w:val="auto"/>
          <w:sz w:val="32"/>
          <w:szCs w:val="32"/>
          <w:highlight w:val="none"/>
        </w:rPr>
        <w:t>算为</w:t>
      </w:r>
      <w:r>
        <w:rPr>
          <w:rFonts w:hint="eastAsia" w:ascii="仿宋_GB2312" w:eastAsia="仿宋_GB2312"/>
          <w:color w:val="auto"/>
          <w:sz w:val="32"/>
          <w:szCs w:val="32"/>
          <w:highlight w:val="none"/>
          <w:lang w:val="en-US" w:eastAsia="zh-CN"/>
        </w:rPr>
        <w:t>131.79</w:t>
      </w:r>
      <w:r>
        <w:rPr>
          <w:rFonts w:hint="eastAsia" w:ascii="仿宋_GB2312" w:eastAsia="仿宋_GB2312"/>
          <w:color w:val="auto"/>
          <w:sz w:val="32"/>
          <w:szCs w:val="32"/>
          <w:highlight w:val="none"/>
        </w:rPr>
        <w:t>万元，完成年初预算的</w:t>
      </w:r>
      <w:r>
        <w:rPr>
          <w:rFonts w:hint="eastAsia" w:ascii="仿宋_GB2312" w:eastAsia="仿宋_GB2312"/>
          <w:color w:val="auto"/>
          <w:sz w:val="32"/>
          <w:szCs w:val="32"/>
          <w:highlight w:val="none"/>
          <w:lang w:val="en-US" w:eastAsia="zh-CN"/>
        </w:rPr>
        <w:t>100%</w:t>
      </w:r>
      <w:r>
        <w:rPr>
          <w:rFonts w:hint="eastAsia" w:ascii="仿宋_GB2312" w:eastAsia="仿宋_GB2312"/>
          <w:color w:val="auto"/>
          <w:sz w:val="32"/>
          <w:szCs w:val="32"/>
          <w:highlight w:val="none"/>
        </w:rPr>
        <w:t>。</w:t>
      </w:r>
      <w:r>
        <w:rPr>
          <w:rFonts w:hint="eastAsia" w:ascii="仿宋_GB2312" w:eastAsia="仿宋_GB2312"/>
          <w:color w:val="auto"/>
          <w:sz w:val="32"/>
          <w:szCs w:val="32"/>
          <w:highlight w:val="none"/>
          <w:lang w:eastAsia="zh-CN"/>
        </w:rPr>
        <w:t>决算数与年初预算数持平。</w:t>
      </w:r>
    </w:p>
    <w:p>
      <w:pPr>
        <w:numPr>
          <w:ilvl w:val="0"/>
          <w:numId w:val="0"/>
        </w:numPr>
        <w:spacing w:line="580" w:lineRule="exact"/>
        <w:ind w:firstLine="632" w:firstLineChars="200"/>
        <w:rPr>
          <w:rFonts w:hint="eastAsia" w:ascii="仿宋_GB2312" w:eastAsia="仿宋_GB2312"/>
          <w:color w:val="0000FF"/>
          <w:szCs w:val="32"/>
          <w:highlight w:val="none"/>
          <w:lang w:eastAsia="zh-CN"/>
        </w:rPr>
      </w:pPr>
      <w:r>
        <w:rPr>
          <w:rFonts w:hint="eastAsia" w:ascii="仿宋_GB2312" w:eastAsia="仿宋_GB2312"/>
          <w:color w:val="auto"/>
          <w:sz w:val="32"/>
          <w:szCs w:val="32"/>
          <w:highlight w:val="none"/>
          <w:lang w:val="en-US" w:eastAsia="zh-CN"/>
        </w:rPr>
        <w:t>2、</w:t>
      </w:r>
      <w:r>
        <w:rPr>
          <w:rFonts w:hint="eastAsia" w:ascii="仿宋_GB2312" w:eastAsia="仿宋_GB2312"/>
          <w:color w:val="auto"/>
          <w:sz w:val="32"/>
          <w:szCs w:val="32"/>
          <w:highlight w:val="none"/>
        </w:rPr>
        <w:t>一般公共服务支出（类）发展与改革事务（款）物价管理（项）。主要反映用于</w:t>
      </w:r>
      <w:r>
        <w:rPr>
          <w:rFonts w:hint="eastAsia" w:ascii="仿宋_GB2312" w:eastAsia="仿宋_GB2312"/>
          <w:color w:val="auto"/>
          <w:sz w:val="32"/>
          <w:szCs w:val="32"/>
          <w:highlight w:val="none"/>
          <w:lang w:eastAsia="zh-CN"/>
        </w:rPr>
        <w:t>物价基本支出和项目支出</w:t>
      </w:r>
      <w:r>
        <w:rPr>
          <w:rFonts w:hint="eastAsia" w:ascii="仿宋_GB2312" w:eastAsia="仿宋_GB2312"/>
          <w:color w:val="auto"/>
          <w:sz w:val="32"/>
          <w:szCs w:val="32"/>
          <w:highlight w:val="none"/>
        </w:rPr>
        <w:t>。年初预算为</w:t>
      </w:r>
      <w:r>
        <w:rPr>
          <w:rFonts w:hint="eastAsia" w:ascii="仿宋_GB2312" w:eastAsia="仿宋_GB2312"/>
          <w:color w:val="auto"/>
          <w:sz w:val="32"/>
          <w:szCs w:val="32"/>
          <w:highlight w:val="none"/>
          <w:lang w:val="en-US" w:eastAsia="zh-CN"/>
        </w:rPr>
        <w:t>14.45万元</w:t>
      </w:r>
      <w:r>
        <w:rPr>
          <w:rFonts w:hint="eastAsia" w:ascii="仿宋_GB2312" w:eastAsia="仿宋_GB2312"/>
          <w:color w:val="auto"/>
          <w:sz w:val="32"/>
          <w:szCs w:val="32"/>
          <w:highlight w:val="none"/>
        </w:rPr>
        <w:t>，支出</w:t>
      </w:r>
      <w:r>
        <w:rPr>
          <w:rFonts w:hint="eastAsia" w:ascii="仿宋_GB2312" w:eastAsia="仿宋_GB2312"/>
          <w:color w:val="auto"/>
          <w:sz w:val="32"/>
          <w:szCs w:val="32"/>
          <w:highlight w:val="none"/>
          <w:lang w:eastAsia="zh-CN"/>
        </w:rPr>
        <w:t>决</w:t>
      </w:r>
      <w:r>
        <w:rPr>
          <w:rFonts w:hint="eastAsia" w:ascii="仿宋_GB2312" w:eastAsia="仿宋_GB2312"/>
          <w:color w:val="auto"/>
          <w:sz w:val="32"/>
          <w:szCs w:val="32"/>
          <w:highlight w:val="none"/>
        </w:rPr>
        <w:t>算为</w:t>
      </w:r>
      <w:r>
        <w:rPr>
          <w:rFonts w:hint="eastAsia" w:ascii="仿宋_GB2312" w:eastAsia="仿宋_GB2312"/>
          <w:color w:val="auto"/>
          <w:sz w:val="32"/>
          <w:szCs w:val="32"/>
          <w:highlight w:val="none"/>
          <w:lang w:val="en-US" w:eastAsia="zh-CN"/>
        </w:rPr>
        <w:t>14.45万</w:t>
      </w:r>
      <w:r>
        <w:rPr>
          <w:rFonts w:hint="eastAsia" w:ascii="仿宋_GB2312" w:eastAsia="仿宋_GB2312"/>
          <w:color w:val="auto"/>
          <w:sz w:val="32"/>
          <w:szCs w:val="32"/>
          <w:highlight w:val="none"/>
        </w:rPr>
        <w:t>元，完成年初预算的</w:t>
      </w:r>
      <w:r>
        <w:rPr>
          <w:rFonts w:hint="eastAsia" w:ascii="仿宋_GB2312" w:eastAsia="仿宋_GB2312"/>
          <w:color w:val="auto"/>
          <w:sz w:val="32"/>
          <w:szCs w:val="32"/>
          <w:highlight w:val="none"/>
          <w:lang w:val="en-US" w:eastAsia="zh-CN"/>
        </w:rPr>
        <w:t>100%</w:t>
      </w:r>
      <w:r>
        <w:rPr>
          <w:rFonts w:hint="eastAsia" w:ascii="仿宋_GB2312" w:eastAsia="仿宋_GB2312"/>
          <w:color w:val="auto"/>
          <w:sz w:val="32"/>
          <w:szCs w:val="32"/>
          <w:highlight w:val="none"/>
        </w:rPr>
        <w:t>。</w:t>
      </w:r>
      <w:r>
        <w:rPr>
          <w:rFonts w:hint="eastAsia" w:ascii="仿宋_GB2312" w:eastAsia="仿宋_GB2312"/>
          <w:color w:val="auto"/>
          <w:sz w:val="32"/>
          <w:szCs w:val="32"/>
          <w:highlight w:val="none"/>
          <w:lang w:eastAsia="zh-CN"/>
        </w:rPr>
        <w:t>决算数与年初预算数持平。</w:t>
      </w:r>
    </w:p>
    <w:p>
      <w:pPr>
        <w:numPr>
          <w:ilvl w:val="0"/>
          <w:numId w:val="0"/>
        </w:numPr>
        <w:spacing w:line="580" w:lineRule="exact"/>
        <w:ind w:firstLine="632" w:firstLineChars="200"/>
        <w:rPr>
          <w:rFonts w:hint="eastAsia" w:ascii="仿宋_GB2312" w:eastAsia="仿宋_GB2312"/>
          <w:color w:val="0000FF"/>
          <w:szCs w:val="32"/>
          <w:highlight w:val="none"/>
          <w:lang w:eastAsia="zh-CN"/>
        </w:rPr>
      </w:pPr>
      <w:r>
        <w:rPr>
          <w:rFonts w:hint="eastAsia" w:ascii="仿宋_GB2312" w:eastAsia="仿宋_GB2312"/>
          <w:color w:val="auto"/>
          <w:szCs w:val="32"/>
          <w:highlight w:val="none"/>
          <w:lang w:val="en-US" w:eastAsia="zh-CN"/>
        </w:rPr>
        <w:t>3、</w:t>
      </w:r>
      <w:r>
        <w:rPr>
          <w:rFonts w:hint="eastAsia" w:ascii="仿宋_GB2312" w:eastAsia="仿宋_GB2312"/>
          <w:color w:val="auto"/>
          <w:sz w:val="32"/>
          <w:szCs w:val="32"/>
          <w:highlight w:val="none"/>
        </w:rPr>
        <w:t>一般公共服务支出（类）发展与改革事务（款）</w:t>
      </w:r>
      <w:r>
        <w:rPr>
          <w:rFonts w:hint="eastAsia" w:ascii="仿宋_GB2312" w:eastAsia="仿宋_GB2312"/>
          <w:color w:val="auto"/>
          <w:sz w:val="32"/>
          <w:szCs w:val="32"/>
          <w:highlight w:val="none"/>
          <w:lang w:eastAsia="zh-CN"/>
        </w:rPr>
        <w:t>其他一般公共服务支出</w:t>
      </w:r>
      <w:r>
        <w:rPr>
          <w:rFonts w:hint="eastAsia" w:ascii="仿宋_GB2312" w:eastAsia="仿宋_GB2312"/>
          <w:color w:val="auto"/>
          <w:sz w:val="32"/>
          <w:szCs w:val="32"/>
          <w:highlight w:val="none"/>
        </w:rPr>
        <w:t>（项）。主要反映用于</w:t>
      </w:r>
      <w:r>
        <w:rPr>
          <w:rFonts w:hint="eastAsia" w:ascii="仿宋_GB2312" w:eastAsia="仿宋_GB2312"/>
          <w:color w:val="auto"/>
          <w:sz w:val="32"/>
          <w:szCs w:val="32"/>
          <w:highlight w:val="none"/>
          <w:lang w:eastAsia="zh-CN"/>
        </w:rPr>
        <w:t>各项税金及其他商品和服务支出。年初预算为</w:t>
      </w:r>
      <w:r>
        <w:rPr>
          <w:rFonts w:hint="eastAsia" w:ascii="仿宋_GB2312" w:eastAsia="仿宋_GB2312"/>
          <w:color w:val="auto"/>
          <w:sz w:val="32"/>
          <w:szCs w:val="32"/>
          <w:highlight w:val="none"/>
          <w:lang w:val="en-US" w:eastAsia="zh-CN"/>
        </w:rPr>
        <w:t>27.46万元，</w:t>
      </w:r>
      <w:r>
        <w:rPr>
          <w:rFonts w:hint="eastAsia" w:ascii="仿宋_GB2312" w:eastAsia="仿宋_GB2312"/>
          <w:color w:val="auto"/>
          <w:sz w:val="32"/>
          <w:szCs w:val="32"/>
          <w:highlight w:val="none"/>
        </w:rPr>
        <w:t>完成年初预算的</w:t>
      </w:r>
      <w:r>
        <w:rPr>
          <w:rFonts w:hint="eastAsia" w:ascii="仿宋_GB2312" w:eastAsia="仿宋_GB2312"/>
          <w:color w:val="auto"/>
          <w:sz w:val="32"/>
          <w:szCs w:val="32"/>
          <w:highlight w:val="none"/>
          <w:lang w:val="en-US" w:eastAsia="zh-CN"/>
        </w:rPr>
        <w:t>100%</w:t>
      </w:r>
      <w:r>
        <w:rPr>
          <w:rFonts w:hint="eastAsia" w:ascii="仿宋_GB2312" w:eastAsia="仿宋_GB2312"/>
          <w:color w:val="auto"/>
          <w:sz w:val="32"/>
          <w:szCs w:val="32"/>
          <w:highlight w:val="none"/>
        </w:rPr>
        <w:t>。</w:t>
      </w:r>
      <w:r>
        <w:rPr>
          <w:rFonts w:hint="eastAsia" w:ascii="仿宋_GB2312" w:eastAsia="仿宋_GB2312"/>
          <w:color w:val="auto"/>
          <w:sz w:val="32"/>
          <w:szCs w:val="32"/>
          <w:highlight w:val="none"/>
          <w:lang w:eastAsia="zh-CN"/>
        </w:rPr>
        <w:t>决算数与年初预算数持平。</w:t>
      </w:r>
    </w:p>
    <w:p>
      <w:pPr>
        <w:spacing w:line="580" w:lineRule="exact"/>
        <w:ind w:firstLine="632" w:firstLineChars="200"/>
        <w:rPr>
          <w:rFonts w:hint="eastAsia" w:ascii="仿宋_GB2312" w:eastAsia="仿宋_GB2312"/>
          <w:b/>
          <w:color w:val="auto"/>
          <w:sz w:val="32"/>
          <w:szCs w:val="32"/>
          <w:highlight w:val="none"/>
        </w:rPr>
      </w:pPr>
      <w:r>
        <w:rPr>
          <w:rFonts w:hint="eastAsia" w:ascii="仿宋_GB2312" w:eastAsia="仿宋_GB2312"/>
          <w:color w:val="auto"/>
          <w:szCs w:val="32"/>
          <w:highlight w:val="none"/>
          <w:lang w:val="en-US" w:eastAsia="zh-CN"/>
        </w:rPr>
        <w:t>4</w:t>
      </w:r>
      <w:r>
        <w:rPr>
          <w:rFonts w:hint="eastAsia" w:ascii="仿宋_GB2312" w:eastAsia="仿宋_GB2312"/>
          <w:color w:val="auto"/>
          <w:szCs w:val="32"/>
          <w:highlight w:val="none"/>
        </w:rPr>
        <w:t>、</w:t>
      </w:r>
      <w:r>
        <w:rPr>
          <w:rFonts w:hint="eastAsia" w:ascii="仿宋_GB2312" w:eastAsia="仿宋_GB2312"/>
          <w:color w:val="auto"/>
          <w:sz w:val="32"/>
          <w:szCs w:val="32"/>
        </w:rPr>
        <w:t>社会保障和就业支出（类）</w:t>
      </w:r>
      <w:r>
        <w:rPr>
          <w:rFonts w:hint="eastAsia" w:ascii="仿宋_GB2312" w:eastAsia="仿宋_GB2312"/>
          <w:color w:val="auto"/>
          <w:sz w:val="32"/>
          <w:szCs w:val="32"/>
          <w:lang w:eastAsia="zh-CN"/>
        </w:rPr>
        <w:t>行政事业单位离退休（款）机关事业单位基本养老保险缴费支出（项）。主要反映用于离退休养老保险的缴纳。</w:t>
      </w:r>
      <w:r>
        <w:rPr>
          <w:rFonts w:hint="eastAsia" w:ascii="仿宋_GB2312" w:eastAsia="仿宋_GB2312"/>
          <w:color w:val="auto"/>
          <w:sz w:val="32"/>
          <w:szCs w:val="32"/>
        </w:rPr>
        <w:t>年初预算为</w:t>
      </w:r>
      <w:r>
        <w:rPr>
          <w:rFonts w:hint="eastAsia" w:ascii="仿宋_GB2312" w:eastAsia="仿宋_GB2312"/>
          <w:color w:val="auto"/>
          <w:sz w:val="32"/>
          <w:szCs w:val="32"/>
          <w:highlight w:val="none"/>
          <w:lang w:val="en-US" w:eastAsia="zh-CN"/>
        </w:rPr>
        <w:t>13.87</w:t>
      </w:r>
      <w:r>
        <w:rPr>
          <w:rFonts w:hint="eastAsia" w:ascii="仿宋_GB2312" w:eastAsia="仿宋_GB2312"/>
          <w:color w:val="auto"/>
          <w:sz w:val="32"/>
          <w:szCs w:val="32"/>
        </w:rPr>
        <w:t>万元，支出决算为</w:t>
      </w:r>
      <w:r>
        <w:rPr>
          <w:rFonts w:hint="eastAsia" w:ascii="仿宋_GB2312" w:eastAsia="仿宋_GB2312"/>
          <w:color w:val="auto"/>
          <w:sz w:val="32"/>
          <w:szCs w:val="32"/>
          <w:lang w:val="en-US" w:eastAsia="zh-CN"/>
        </w:rPr>
        <w:t>13.87</w:t>
      </w:r>
      <w:r>
        <w:rPr>
          <w:rFonts w:hint="eastAsia" w:ascii="仿宋_GB2312" w:eastAsia="仿宋_GB2312"/>
          <w:color w:val="auto"/>
          <w:sz w:val="32"/>
          <w:szCs w:val="32"/>
        </w:rPr>
        <w:t>万元，完成年初预算的</w:t>
      </w:r>
      <w:r>
        <w:rPr>
          <w:rFonts w:hint="eastAsia" w:ascii="仿宋_GB2312" w:eastAsia="仿宋_GB2312"/>
          <w:color w:val="auto"/>
          <w:sz w:val="32"/>
          <w:szCs w:val="32"/>
          <w:lang w:val="en-US" w:eastAsia="zh-CN"/>
        </w:rPr>
        <w:t>100%。</w:t>
      </w:r>
      <w:r>
        <w:rPr>
          <w:rFonts w:hint="eastAsia" w:ascii="仿宋_GB2312" w:eastAsia="仿宋_GB2312"/>
          <w:color w:val="auto"/>
          <w:sz w:val="32"/>
          <w:szCs w:val="32"/>
          <w:highlight w:val="none"/>
          <w:lang w:eastAsia="zh-CN"/>
        </w:rPr>
        <w:t>决算数与年初预算数持平。</w:t>
      </w:r>
    </w:p>
    <w:p>
      <w:pPr>
        <w:spacing w:line="580" w:lineRule="exact"/>
        <w:ind w:firstLine="632" w:firstLineChars="200"/>
        <w:rPr>
          <w:rFonts w:hint="eastAsia" w:ascii="仿宋_GB2312" w:eastAsia="仿宋_GB2312"/>
          <w:b/>
          <w:color w:val="auto"/>
          <w:sz w:val="32"/>
          <w:szCs w:val="32"/>
          <w:highlight w:val="none"/>
        </w:rPr>
      </w:pPr>
      <w:r>
        <w:rPr>
          <w:rFonts w:hint="eastAsia" w:ascii="仿宋_GB2312" w:eastAsia="仿宋_GB2312"/>
          <w:color w:val="auto"/>
          <w:sz w:val="32"/>
          <w:szCs w:val="32"/>
          <w:lang w:val="en-US" w:eastAsia="zh-CN"/>
        </w:rPr>
        <w:t>5、</w:t>
      </w:r>
      <w:r>
        <w:rPr>
          <w:rFonts w:hint="eastAsia" w:ascii="仿宋_GB2312" w:eastAsia="仿宋_GB2312"/>
          <w:color w:val="auto"/>
          <w:sz w:val="32"/>
          <w:szCs w:val="32"/>
        </w:rPr>
        <w:t>社会保障和就业支出（类）其他社会保障和就业支出（款）其他社会保障和就业支出（项）。主要反映用于社会保障和就业支出。年初预算为</w:t>
      </w:r>
      <w:r>
        <w:rPr>
          <w:rFonts w:hint="eastAsia" w:ascii="仿宋_GB2312" w:eastAsia="仿宋_GB2312"/>
          <w:color w:val="auto"/>
          <w:sz w:val="32"/>
          <w:szCs w:val="32"/>
          <w:highlight w:val="none"/>
          <w:lang w:val="en-US" w:eastAsia="zh-CN"/>
        </w:rPr>
        <w:t>0.31</w:t>
      </w:r>
      <w:r>
        <w:rPr>
          <w:rFonts w:hint="eastAsia" w:ascii="仿宋_GB2312" w:eastAsia="仿宋_GB2312"/>
          <w:color w:val="auto"/>
          <w:sz w:val="32"/>
          <w:szCs w:val="32"/>
          <w:highlight w:val="none"/>
        </w:rPr>
        <w:t>万</w:t>
      </w:r>
      <w:r>
        <w:rPr>
          <w:rFonts w:hint="eastAsia" w:ascii="仿宋_GB2312" w:eastAsia="仿宋_GB2312"/>
          <w:color w:val="auto"/>
          <w:sz w:val="32"/>
          <w:szCs w:val="32"/>
        </w:rPr>
        <w:t>元，支出决算为</w:t>
      </w:r>
      <w:r>
        <w:rPr>
          <w:rFonts w:hint="eastAsia" w:ascii="仿宋_GB2312" w:eastAsia="仿宋_GB2312"/>
          <w:color w:val="auto"/>
          <w:sz w:val="32"/>
          <w:szCs w:val="32"/>
          <w:lang w:val="en-US" w:eastAsia="zh-CN"/>
        </w:rPr>
        <w:t>0.31</w:t>
      </w:r>
      <w:r>
        <w:rPr>
          <w:rFonts w:hint="eastAsia" w:ascii="仿宋_GB2312" w:eastAsia="仿宋_GB2312"/>
          <w:color w:val="auto"/>
          <w:sz w:val="32"/>
          <w:szCs w:val="32"/>
        </w:rPr>
        <w:t>万元，完成年初预算的</w:t>
      </w:r>
      <w:r>
        <w:rPr>
          <w:rFonts w:hint="eastAsia" w:ascii="仿宋_GB2312" w:eastAsia="仿宋_GB2312"/>
          <w:color w:val="auto"/>
          <w:sz w:val="32"/>
          <w:szCs w:val="32"/>
          <w:lang w:val="en-US" w:eastAsia="zh-CN"/>
        </w:rPr>
        <w:t>100%</w:t>
      </w:r>
      <w:r>
        <w:rPr>
          <w:rFonts w:hint="eastAsia" w:ascii="仿宋_GB2312" w:eastAsia="仿宋_GB2312"/>
          <w:color w:val="auto"/>
          <w:sz w:val="32"/>
          <w:szCs w:val="32"/>
        </w:rPr>
        <w:t>。</w:t>
      </w:r>
      <w:r>
        <w:rPr>
          <w:rFonts w:hint="eastAsia" w:ascii="仿宋_GB2312" w:eastAsia="仿宋_GB2312"/>
          <w:color w:val="auto"/>
          <w:sz w:val="32"/>
          <w:szCs w:val="32"/>
          <w:highlight w:val="none"/>
          <w:lang w:eastAsia="zh-CN"/>
        </w:rPr>
        <w:t>决算数与年初预算数持平。</w:t>
      </w:r>
    </w:p>
    <w:p>
      <w:pPr>
        <w:spacing w:line="580" w:lineRule="exact"/>
        <w:ind w:firstLine="632" w:firstLineChars="200"/>
        <w:rPr>
          <w:rFonts w:hint="eastAsia" w:ascii="仿宋_GB2312" w:eastAsia="仿宋_GB2312"/>
          <w:color w:val="auto"/>
          <w:sz w:val="32"/>
          <w:szCs w:val="32"/>
          <w:highlight w:val="none"/>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医疗卫生和计划生育支出（类）医疗保障（款）</w:t>
      </w:r>
      <w:r>
        <w:rPr>
          <w:rFonts w:hint="eastAsia" w:ascii="仿宋_GB2312" w:hAnsi="仿宋_GB2312" w:eastAsia="仿宋_GB2312" w:cs="仿宋_GB2312"/>
          <w:color w:val="auto"/>
          <w:sz w:val="32"/>
          <w:szCs w:val="32"/>
          <w:lang w:eastAsia="zh-CN"/>
        </w:rPr>
        <w:t>事业</w:t>
      </w:r>
      <w:r>
        <w:rPr>
          <w:rFonts w:hint="eastAsia" w:ascii="仿宋_GB2312" w:hAnsi="仿宋_GB2312" w:eastAsia="仿宋_GB2312" w:cs="仿宋_GB2312"/>
          <w:color w:val="auto"/>
          <w:sz w:val="32"/>
          <w:szCs w:val="32"/>
        </w:rPr>
        <w:t>单位医疗（项）。主要用于机关在职人员医疗保险支出。年初预算为</w:t>
      </w:r>
      <w:r>
        <w:rPr>
          <w:rFonts w:hint="eastAsia" w:ascii="仿宋_GB2312" w:hAnsi="仿宋_GB2312" w:eastAsia="仿宋_GB2312" w:cs="仿宋_GB2312"/>
          <w:color w:val="auto"/>
          <w:sz w:val="32"/>
          <w:szCs w:val="32"/>
          <w:highlight w:val="none"/>
          <w:lang w:val="en-US" w:eastAsia="zh-CN"/>
        </w:rPr>
        <w:t>5.88</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rPr>
        <w:t>，支出决算为</w:t>
      </w:r>
      <w:r>
        <w:rPr>
          <w:rFonts w:hint="eastAsia" w:ascii="仿宋_GB2312" w:hAnsi="仿宋_GB2312" w:eastAsia="仿宋_GB2312" w:cs="仿宋_GB2312"/>
          <w:color w:val="auto"/>
          <w:sz w:val="32"/>
          <w:szCs w:val="32"/>
          <w:lang w:val="en-US" w:eastAsia="zh-CN"/>
        </w:rPr>
        <w:t>5.88</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100%</w:t>
      </w:r>
      <w:r>
        <w:rPr>
          <w:rFonts w:hint="eastAsia" w:ascii="仿宋_GB2312" w:eastAsia="仿宋_GB2312"/>
          <w:color w:val="auto"/>
          <w:sz w:val="32"/>
          <w:szCs w:val="32"/>
        </w:rPr>
        <w:t>。</w:t>
      </w:r>
      <w:r>
        <w:rPr>
          <w:rFonts w:hint="eastAsia" w:ascii="仿宋_GB2312" w:eastAsia="仿宋_GB2312"/>
          <w:color w:val="auto"/>
          <w:sz w:val="32"/>
          <w:szCs w:val="32"/>
          <w:highlight w:val="none"/>
          <w:lang w:eastAsia="zh-CN"/>
        </w:rPr>
        <w:t>决算数与年初预算数持平。</w:t>
      </w:r>
    </w:p>
    <w:p>
      <w:pPr>
        <w:spacing w:line="580" w:lineRule="exact"/>
        <w:ind w:firstLine="632" w:firstLineChars="200"/>
        <w:rPr>
          <w:rFonts w:hint="eastAsia" w:ascii="仿宋_GB2312" w:eastAsia="仿宋_GB2312"/>
          <w:color w:val="auto"/>
          <w:sz w:val="32"/>
          <w:szCs w:val="32"/>
          <w:highlight w:val="none"/>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医疗卫生和计划生育支出（类）医疗保障（款）</w:t>
      </w:r>
      <w:r>
        <w:rPr>
          <w:rFonts w:hint="eastAsia" w:ascii="仿宋_GB2312" w:hAnsi="仿宋_GB2312" w:eastAsia="仿宋_GB2312" w:cs="仿宋_GB2312"/>
          <w:color w:val="auto"/>
          <w:sz w:val="32"/>
          <w:szCs w:val="32"/>
          <w:lang w:eastAsia="zh-CN"/>
        </w:rPr>
        <w:t>公务员医疗补助</w:t>
      </w:r>
      <w:r>
        <w:rPr>
          <w:rFonts w:hint="eastAsia" w:ascii="仿宋_GB2312" w:hAnsi="仿宋_GB2312" w:eastAsia="仿宋_GB2312" w:cs="仿宋_GB2312"/>
          <w:color w:val="auto"/>
          <w:sz w:val="32"/>
          <w:szCs w:val="32"/>
        </w:rPr>
        <w:t>（项）。主要用于机关在职人员医疗保险支出。年初预算为</w:t>
      </w:r>
      <w:r>
        <w:rPr>
          <w:rFonts w:hint="eastAsia" w:ascii="仿宋_GB2312" w:hAnsi="仿宋_GB2312" w:eastAsia="仿宋_GB2312" w:cs="仿宋_GB2312"/>
          <w:color w:val="auto"/>
          <w:sz w:val="32"/>
          <w:szCs w:val="32"/>
          <w:highlight w:val="none"/>
          <w:lang w:val="en-US" w:eastAsia="zh-CN"/>
        </w:rPr>
        <w:t>1.43</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1.43</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100%</w:t>
      </w:r>
      <w:r>
        <w:rPr>
          <w:rFonts w:hint="eastAsia" w:ascii="仿宋_GB2312" w:eastAsia="仿宋_GB2312"/>
          <w:color w:val="auto"/>
          <w:sz w:val="32"/>
          <w:szCs w:val="32"/>
        </w:rPr>
        <w:t>。</w:t>
      </w:r>
      <w:r>
        <w:rPr>
          <w:rFonts w:hint="eastAsia" w:ascii="仿宋_GB2312" w:eastAsia="仿宋_GB2312"/>
          <w:color w:val="auto"/>
          <w:sz w:val="32"/>
          <w:szCs w:val="32"/>
          <w:highlight w:val="none"/>
          <w:lang w:eastAsia="zh-CN"/>
        </w:rPr>
        <w:t>决算数与年初预算数持平。</w:t>
      </w:r>
    </w:p>
    <w:p>
      <w:pPr>
        <w:suppressAutoHyphens/>
        <w:spacing w:line="580" w:lineRule="exact"/>
        <w:rPr>
          <w:color w:val="auto"/>
          <w:highlight w:val="none"/>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住房保障支出（类）住房改革支出（款）住房公积金（项）。主要用于机关在职人员住房公积金支出。年初预</w:t>
      </w:r>
      <w:r>
        <w:rPr>
          <w:rFonts w:hint="eastAsia" w:ascii="仿宋_GB2312" w:hAnsi="仿宋_GB2312" w:eastAsia="仿宋_GB2312" w:cs="仿宋_GB2312"/>
          <w:color w:val="auto"/>
          <w:sz w:val="32"/>
          <w:szCs w:val="32"/>
          <w:lang w:val="en-US" w:eastAsia="zh-CN"/>
        </w:rPr>
        <w:t>算为</w:t>
      </w:r>
      <w:r>
        <w:rPr>
          <w:rFonts w:hint="eastAsia" w:ascii="仿宋_GB2312" w:hAnsi="仿宋_GB2312" w:eastAsia="仿宋_GB2312" w:cs="仿宋_GB2312"/>
          <w:color w:val="auto"/>
          <w:sz w:val="32"/>
          <w:szCs w:val="32"/>
          <w:highlight w:val="none"/>
          <w:lang w:val="en-US" w:eastAsia="zh-CN"/>
        </w:rPr>
        <w:t>10.38</w:t>
      </w:r>
      <w:r>
        <w:rPr>
          <w:rFonts w:hint="eastAsia" w:ascii="仿宋_GB2312" w:hAnsi="仿宋_GB2312" w:eastAsia="仿宋_GB2312" w:cs="仿宋_GB2312"/>
          <w:color w:val="auto"/>
          <w:sz w:val="32"/>
          <w:szCs w:val="32"/>
          <w:lang w:val="en-US" w:eastAsia="zh-CN"/>
        </w:rPr>
        <w:t>万元，支出决算为10.38万元，完成年初预算的100%</w:t>
      </w:r>
      <w:r>
        <w:rPr>
          <w:rFonts w:hint="eastAsia" w:ascii="仿宋_GB2312" w:eastAsia="仿宋_GB2312"/>
          <w:color w:val="auto"/>
          <w:sz w:val="32"/>
          <w:szCs w:val="32"/>
        </w:rPr>
        <w:t>。</w:t>
      </w:r>
      <w:r>
        <w:rPr>
          <w:rFonts w:hint="eastAsia" w:ascii="仿宋_GB2312" w:eastAsia="仿宋_GB2312"/>
          <w:color w:val="auto"/>
          <w:sz w:val="32"/>
          <w:szCs w:val="32"/>
          <w:highlight w:val="none"/>
          <w:lang w:eastAsia="zh-CN"/>
        </w:rPr>
        <w:t>决算数与年初预算数持平。</w:t>
      </w:r>
    </w:p>
    <w:p>
      <w:pPr>
        <w:ind w:firstLine="632" w:firstLineChars="200"/>
        <w:rPr>
          <w:rFonts w:ascii="黑体" w:hAnsi="黑体" w:eastAsia="黑体"/>
          <w:szCs w:val="32"/>
        </w:rPr>
      </w:pPr>
      <w:r>
        <w:rPr>
          <w:rFonts w:hint="eastAsia" w:ascii="黑体" w:hAnsi="黑体" w:eastAsia="黑体"/>
          <w:szCs w:val="32"/>
        </w:rPr>
        <w:t>六、一般公共预算财政拨款基本支出决算情况说明</w:t>
      </w:r>
    </w:p>
    <w:p>
      <w:pPr>
        <w:ind w:firstLine="632" w:firstLineChars="200"/>
        <w:rPr>
          <w:rFonts w:hint="eastAsia" w:ascii="仿宋_GB2312" w:eastAsia="仿宋_GB2312"/>
          <w:szCs w:val="32"/>
        </w:rPr>
      </w:pPr>
      <w:r>
        <w:rPr>
          <w:rFonts w:hint="eastAsia" w:ascii="仿宋_GB2312" w:eastAsia="仿宋_GB2312"/>
          <w:szCs w:val="32"/>
          <w:lang w:eastAsia="zh-CN"/>
        </w:rPr>
        <w:t>2019</w:t>
      </w:r>
      <w:r>
        <w:rPr>
          <w:rFonts w:hint="eastAsia" w:ascii="仿宋_GB2312" w:eastAsia="仿宋_GB2312"/>
          <w:szCs w:val="32"/>
        </w:rPr>
        <w:t>年度一般公共预算财政拨款基本支出决算</w:t>
      </w:r>
      <w:r>
        <w:rPr>
          <w:rFonts w:hint="eastAsia" w:ascii="仿宋_GB2312" w:eastAsia="仿宋_GB2312"/>
          <w:szCs w:val="32"/>
          <w:lang w:val="en-US" w:eastAsia="zh-CN"/>
        </w:rPr>
        <w:t>195.51</w:t>
      </w:r>
      <w:r>
        <w:rPr>
          <w:rFonts w:hint="eastAsia" w:ascii="仿宋_GB2312" w:eastAsia="仿宋_GB2312"/>
          <w:szCs w:val="32"/>
        </w:rPr>
        <w:t>万元，包括人员经费和公用经费，支出具体情况如下：</w:t>
      </w:r>
    </w:p>
    <w:p>
      <w:pPr>
        <w:spacing w:line="580" w:lineRule="exact"/>
        <w:ind w:firstLine="632" w:firstLineChars="200"/>
        <w:rPr>
          <w:rFonts w:hint="eastAsia" w:ascii="仿宋_GB2312" w:eastAsia="仿宋_GB2312"/>
          <w:sz w:val="32"/>
          <w:szCs w:val="32"/>
        </w:rPr>
      </w:pPr>
      <w:r>
        <w:rPr>
          <w:rFonts w:hint="eastAsia" w:ascii="仿宋_GB2312" w:eastAsia="仿宋_GB2312"/>
          <w:szCs w:val="32"/>
        </w:rPr>
        <w:t>人员经费</w:t>
      </w:r>
      <w:r>
        <w:rPr>
          <w:rFonts w:hint="eastAsia" w:ascii="仿宋_GB2312" w:eastAsia="仿宋_GB2312"/>
          <w:szCs w:val="32"/>
          <w:lang w:val="en-US" w:eastAsia="zh-CN"/>
        </w:rPr>
        <w:t>148.03</w:t>
      </w:r>
      <w:r>
        <w:rPr>
          <w:rFonts w:hint="eastAsia" w:ascii="仿宋_GB2312" w:eastAsia="仿宋_GB2312"/>
          <w:szCs w:val="32"/>
        </w:rPr>
        <w:t>万元，主要包括：</w:t>
      </w:r>
      <w:r>
        <w:rPr>
          <w:rFonts w:hint="eastAsia" w:ascii="仿宋_GB2312" w:eastAsia="仿宋_GB2312"/>
          <w:sz w:val="32"/>
          <w:szCs w:val="32"/>
        </w:rPr>
        <w:t>基本工资、津贴补贴、奖金、</w:t>
      </w:r>
      <w:r>
        <w:rPr>
          <w:rFonts w:hint="eastAsia" w:ascii="仿宋_GB2312" w:eastAsia="仿宋_GB2312"/>
          <w:sz w:val="32"/>
          <w:szCs w:val="32"/>
          <w:lang w:eastAsia="zh-CN"/>
        </w:rPr>
        <w:t>绩效工资、</w:t>
      </w:r>
      <w:r>
        <w:rPr>
          <w:rFonts w:hint="eastAsia" w:ascii="仿宋_GB2312" w:eastAsia="仿宋_GB2312"/>
          <w:sz w:val="32"/>
          <w:szCs w:val="32"/>
        </w:rPr>
        <w:t>其他社会保障缴费、机关事业单位基本养老保险缴费、职业年金缴费、对个人和家庭的补助支出、生活补助、住房公积金、购房补贴、</w:t>
      </w:r>
      <w:r>
        <w:rPr>
          <w:rFonts w:hint="eastAsia" w:ascii="仿宋_GB2312" w:eastAsia="仿宋_GB2312"/>
          <w:sz w:val="32"/>
          <w:szCs w:val="32"/>
          <w:lang w:eastAsia="zh-CN"/>
        </w:rPr>
        <w:t>采暖补贴、</w:t>
      </w:r>
      <w:r>
        <w:rPr>
          <w:rFonts w:hint="eastAsia" w:ascii="仿宋_GB2312" w:eastAsia="仿宋_GB2312"/>
          <w:sz w:val="32"/>
          <w:szCs w:val="32"/>
        </w:rPr>
        <w:t>其他对等个人和家庭的补助支出。</w:t>
      </w:r>
    </w:p>
    <w:p>
      <w:pPr>
        <w:spacing w:line="580" w:lineRule="exact"/>
        <w:ind w:firstLine="632" w:firstLineChars="200"/>
        <w:rPr>
          <w:rFonts w:hint="eastAsia" w:ascii="仿宋_GB2312" w:eastAsia="仿宋_GB2312"/>
          <w:sz w:val="32"/>
          <w:szCs w:val="32"/>
        </w:rPr>
      </w:pPr>
      <w:r>
        <w:rPr>
          <w:rFonts w:hint="eastAsia" w:ascii="仿宋_GB2312" w:eastAsia="仿宋_GB2312"/>
          <w:szCs w:val="32"/>
        </w:rPr>
        <w:t>公用经费</w:t>
      </w:r>
      <w:r>
        <w:rPr>
          <w:rFonts w:hint="eastAsia" w:ascii="仿宋_GB2312" w:eastAsia="仿宋_GB2312"/>
          <w:szCs w:val="32"/>
          <w:lang w:val="en-US" w:eastAsia="zh-CN"/>
        </w:rPr>
        <w:t>47.48</w:t>
      </w:r>
      <w:r>
        <w:rPr>
          <w:rFonts w:hint="eastAsia" w:ascii="仿宋_GB2312" w:eastAsia="仿宋_GB2312"/>
          <w:szCs w:val="32"/>
        </w:rPr>
        <w:t>万元，主要包括：</w:t>
      </w:r>
      <w:r>
        <w:rPr>
          <w:rFonts w:hint="eastAsia" w:ascii="仿宋_GB2312" w:eastAsia="仿宋_GB2312"/>
          <w:sz w:val="32"/>
          <w:szCs w:val="32"/>
        </w:rPr>
        <w:t>办公费、</w:t>
      </w:r>
      <w:r>
        <w:rPr>
          <w:rFonts w:hint="eastAsia" w:ascii="仿宋_GB2312" w:eastAsia="仿宋_GB2312"/>
          <w:sz w:val="32"/>
          <w:szCs w:val="32"/>
          <w:lang w:eastAsia="zh-CN"/>
        </w:rPr>
        <w:t>印刷费、</w:t>
      </w:r>
      <w:r>
        <w:rPr>
          <w:rFonts w:hint="eastAsia" w:ascii="仿宋_GB2312" w:eastAsia="仿宋_GB2312"/>
          <w:sz w:val="32"/>
          <w:szCs w:val="32"/>
        </w:rPr>
        <w:t>水费、电费、邮电费、</w:t>
      </w:r>
      <w:r>
        <w:rPr>
          <w:rFonts w:hint="eastAsia" w:ascii="仿宋_GB2312" w:eastAsia="仿宋_GB2312"/>
          <w:sz w:val="32"/>
          <w:szCs w:val="32"/>
          <w:lang w:eastAsia="zh-CN"/>
        </w:rPr>
        <w:t>取暖费、</w:t>
      </w:r>
      <w:r>
        <w:rPr>
          <w:rFonts w:hint="eastAsia" w:ascii="仿宋_GB2312" w:eastAsia="仿宋_GB2312"/>
          <w:sz w:val="32"/>
          <w:szCs w:val="32"/>
        </w:rPr>
        <w:t>物业管理费、差旅费、工会经费、福利费、</w:t>
      </w:r>
      <w:r>
        <w:rPr>
          <w:rFonts w:hint="eastAsia" w:ascii="仿宋_GB2312" w:eastAsia="仿宋_GB2312"/>
          <w:sz w:val="32"/>
          <w:szCs w:val="32"/>
          <w:lang w:eastAsia="zh-CN"/>
        </w:rPr>
        <w:t>其他交通费用、税金及附加费用、</w:t>
      </w:r>
      <w:r>
        <w:rPr>
          <w:rFonts w:hint="eastAsia" w:ascii="仿宋_GB2312" w:eastAsia="仿宋_GB2312"/>
          <w:sz w:val="32"/>
          <w:szCs w:val="32"/>
        </w:rPr>
        <w:t>其他商品和服务支出。</w:t>
      </w:r>
    </w:p>
    <w:p>
      <w:pPr>
        <w:ind w:firstLine="632" w:firstLineChars="200"/>
        <w:rPr>
          <w:rFonts w:ascii="黑体" w:hAnsi="黑体" w:eastAsia="黑体"/>
          <w:szCs w:val="32"/>
        </w:rPr>
      </w:pPr>
      <w:r>
        <w:rPr>
          <w:rFonts w:hint="eastAsia" w:ascii="黑体" w:hAnsi="黑体" w:eastAsia="黑体"/>
          <w:szCs w:val="32"/>
        </w:rPr>
        <w:t>七、一般公共预算财政拨款“三公”经费支出决算情况说明</w:t>
      </w:r>
    </w:p>
    <w:p>
      <w:pPr>
        <w:ind w:firstLine="632" w:firstLineChars="200"/>
        <w:rPr>
          <w:rFonts w:hint="eastAsia" w:ascii="楷体_GB2312" w:eastAsia="楷体_GB2312"/>
          <w:szCs w:val="32"/>
        </w:rPr>
      </w:pPr>
      <w:r>
        <w:rPr>
          <w:rFonts w:hint="eastAsia" w:ascii="楷体_GB2312" w:eastAsia="楷体_GB2312"/>
          <w:szCs w:val="32"/>
        </w:rPr>
        <w:t>（一）“三公”经费支出决算总体情况及增减变动原因</w:t>
      </w:r>
    </w:p>
    <w:p>
      <w:pPr>
        <w:spacing w:line="580" w:lineRule="exact"/>
        <w:ind w:firstLine="585" w:firstLineChars="185"/>
        <w:rPr>
          <w:rFonts w:hint="eastAsia" w:ascii="仿宋_GB2312" w:eastAsia="仿宋_GB2312"/>
          <w:b/>
          <w:sz w:val="32"/>
          <w:szCs w:val="32"/>
          <w:highlight w:val="none"/>
          <w:lang w:val="en-US" w:eastAsia="zh-CN"/>
        </w:rPr>
      </w:pPr>
      <w:r>
        <w:rPr>
          <w:rFonts w:hint="eastAsia" w:ascii="仿宋_GB2312" w:hAnsi="宋体" w:eastAsia="仿宋_GB2312" w:cs="Courier New"/>
          <w:szCs w:val="32"/>
        </w:rPr>
        <w:t>一般公共预算财政拨款“三公”经费支出范围包括</w:t>
      </w:r>
      <w:r>
        <w:rPr>
          <w:rFonts w:hint="eastAsia" w:ascii="仿宋_GB2312" w:hAnsi="宋体" w:eastAsia="仿宋_GB2312" w:cs="Courier New"/>
          <w:sz w:val="32"/>
          <w:szCs w:val="32"/>
          <w:lang w:eastAsia="zh-CN"/>
        </w:rPr>
        <w:t>物价</w:t>
      </w:r>
      <w:r>
        <w:rPr>
          <w:rFonts w:hint="eastAsia" w:ascii="仿宋_GB2312" w:hAnsi="宋体" w:eastAsia="仿宋_GB2312" w:cs="Courier New"/>
          <w:sz w:val="32"/>
          <w:szCs w:val="32"/>
        </w:rPr>
        <w:t>部门</w:t>
      </w:r>
      <w:r>
        <w:rPr>
          <w:rFonts w:hint="eastAsia" w:ascii="仿宋_GB2312" w:hAnsi="宋体" w:eastAsia="仿宋_GB2312" w:cs="Courier New"/>
          <w:sz w:val="32"/>
          <w:szCs w:val="32"/>
          <w:lang w:eastAsia="zh-CN"/>
        </w:rPr>
        <w:t>机关预算单位，</w:t>
      </w:r>
      <w:r>
        <w:rPr>
          <w:rFonts w:hint="eastAsia" w:ascii="仿宋_GB2312" w:hAnsi="宋体" w:eastAsia="仿宋_GB2312" w:cs="Courier New"/>
          <w:szCs w:val="32"/>
        </w:rPr>
        <w:t>共</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个预算单位</w:t>
      </w:r>
      <w:r>
        <w:rPr>
          <w:rFonts w:hint="eastAsia" w:ascii="仿宋_GB2312" w:hAnsi="宋体" w:eastAsia="仿宋_GB2312" w:cs="Courier New"/>
          <w:szCs w:val="32"/>
          <w:lang w:eastAsia="zh-CN"/>
        </w:rPr>
        <w:t>。</w:t>
      </w:r>
      <w:r>
        <w:rPr>
          <w:rFonts w:hint="eastAsia" w:ascii="仿宋_GB2312" w:eastAsia="仿宋_GB2312"/>
          <w:szCs w:val="32"/>
          <w:highlight w:val="none"/>
          <w:lang w:eastAsia="zh-CN"/>
        </w:rPr>
        <w:t>2019</w:t>
      </w:r>
      <w:r>
        <w:rPr>
          <w:rFonts w:hint="eastAsia" w:ascii="仿宋_GB2312" w:eastAsia="仿宋_GB2312"/>
          <w:szCs w:val="32"/>
          <w:highlight w:val="none"/>
        </w:rPr>
        <w:t>年度一般公共预算财政拨款“三公”经费决算数</w:t>
      </w:r>
      <w:r>
        <w:rPr>
          <w:rFonts w:hint="eastAsia" w:ascii="仿宋_GB2312" w:eastAsia="仿宋_GB2312"/>
          <w:szCs w:val="32"/>
          <w:highlight w:val="none"/>
          <w:lang w:eastAsia="zh-CN"/>
        </w:rPr>
        <w:t>因机构合并，都在发改局入账，物价局账面没有体现。主要原因是本年度机构合并</w:t>
      </w:r>
      <w:r>
        <w:rPr>
          <w:rFonts w:hint="eastAsia" w:ascii="仿宋_GB2312" w:eastAsia="仿宋_GB2312"/>
          <w:szCs w:val="32"/>
          <w:highlight w:val="none"/>
        </w:rPr>
        <w:t>。</w:t>
      </w:r>
    </w:p>
    <w:p>
      <w:pPr>
        <w:ind w:firstLine="632" w:firstLineChars="200"/>
        <w:rPr>
          <w:rFonts w:hint="eastAsia" w:ascii="楷体_GB2312" w:eastAsia="楷体_GB2312"/>
          <w:szCs w:val="32"/>
        </w:rPr>
      </w:pPr>
      <w:r>
        <w:rPr>
          <w:rFonts w:hint="eastAsia" w:ascii="楷体_GB2312" w:eastAsia="楷体_GB2312"/>
          <w:szCs w:val="32"/>
        </w:rPr>
        <w:t>（二）“三公”经费支出决算具体情况</w:t>
      </w:r>
    </w:p>
    <w:p>
      <w:pPr>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1.因公出国（境）费决算数为 0 万元，占一般公共预算财政 拨款“三公”经费总数的 0%。2019 年使用财政拨款安排 0 个单位， 因公出国（境）团组 0 个,累计 0 人次。</w:t>
      </w:r>
    </w:p>
    <w:p>
      <w:pPr>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2.公务用车购置及运行维护费决算数为 0 万元，占一般公共 预算财政拨款“三公”经费总数的 0%。其中：公务用车购置费支 出 0 万元，2019 年机关及所属预算单位共 个单位使用财政拨款购置公务用车 0 辆；公务用车运行维护费 0 万元。2019 年市机关及所属预算单位财政拨款开支运行维护费的公务用车保有量为 0 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3.公务接待费决算数为0万元，占一般公共预算财政拨 款“三公”经费总数的0%。2019 年共计接待0批次、0人次</w:t>
      </w:r>
      <w:r>
        <w:rPr>
          <w:rFonts w:ascii="仿宋_GB2312" w:hAnsi="仿宋_GB2312" w:eastAsia="仿宋_GB2312" w:cs="仿宋_GB2312"/>
          <w:sz w:val="32"/>
          <w:szCs w:val="32"/>
        </w:rPr>
        <w:t>。（含外事接待 0 批次、0 人次）。</w:t>
      </w:r>
    </w:p>
    <w:p>
      <w:pPr>
        <w:ind w:firstLine="632" w:firstLineChars="200"/>
        <w:rPr>
          <w:rFonts w:ascii="黑体" w:hAnsi="黑体" w:eastAsia="黑体"/>
          <w:szCs w:val="32"/>
        </w:rPr>
      </w:pPr>
      <w:r>
        <w:rPr>
          <w:rFonts w:hint="eastAsia" w:ascii="黑体" w:hAnsi="黑体" w:eastAsia="黑体"/>
          <w:szCs w:val="32"/>
        </w:rPr>
        <w:t>八、政府性基金预算财政拨款收入支出决算情况说明</w:t>
      </w:r>
    </w:p>
    <w:p>
      <w:pPr>
        <w:spacing w:line="580" w:lineRule="exact"/>
        <w:ind w:firstLine="632" w:firstLineChars="200"/>
        <w:rPr>
          <w:rFonts w:ascii="仿宋_GB2312" w:eastAsia="仿宋_GB2312"/>
          <w:sz w:val="32"/>
          <w:szCs w:val="32"/>
        </w:rPr>
      </w:pPr>
      <w:r>
        <w:rPr>
          <w:rFonts w:hint="eastAsia" w:ascii="仿宋_GB2312" w:eastAsia="仿宋_GB2312"/>
          <w:szCs w:val="32"/>
          <w:lang w:eastAsia="zh-CN"/>
        </w:rPr>
        <w:t>2019</w:t>
      </w:r>
      <w:r>
        <w:rPr>
          <w:rFonts w:hint="eastAsia" w:ascii="仿宋_GB2312" w:eastAsia="仿宋_GB2312"/>
          <w:szCs w:val="32"/>
        </w:rPr>
        <w:t>年度</w:t>
      </w:r>
      <w:r>
        <w:rPr>
          <w:rFonts w:hint="eastAsia" w:ascii="仿宋_GB2312" w:eastAsia="仿宋_GB2312"/>
          <w:sz w:val="32"/>
          <w:szCs w:val="32"/>
        </w:rPr>
        <w:t>物价局没有政府性基金收入，也没有使用政府性基金安排的支出。</w:t>
      </w:r>
    </w:p>
    <w:p>
      <w:pPr>
        <w:ind w:firstLine="632" w:firstLineChars="200"/>
        <w:rPr>
          <w:rFonts w:ascii="黑体" w:hAnsi="黑体" w:eastAsia="黑体"/>
          <w:szCs w:val="32"/>
        </w:rPr>
      </w:pPr>
      <w:r>
        <w:rPr>
          <w:rFonts w:hint="eastAsia" w:ascii="黑体" w:hAnsi="黑体" w:eastAsia="黑体"/>
          <w:szCs w:val="32"/>
        </w:rPr>
        <w:t>九、重要事项情况说明</w:t>
      </w:r>
    </w:p>
    <w:p>
      <w:pPr>
        <w:ind w:firstLine="632" w:firstLineChars="200"/>
        <w:rPr>
          <w:rFonts w:ascii="楷体_GB2312" w:eastAsia="楷体_GB2312"/>
          <w:szCs w:val="32"/>
        </w:rPr>
      </w:pPr>
      <w:r>
        <w:rPr>
          <w:rFonts w:hint="eastAsia" w:ascii="楷体_GB2312" w:eastAsia="楷体_GB2312"/>
          <w:szCs w:val="32"/>
        </w:rPr>
        <w:t>（一）机关运行经费支出情况</w:t>
      </w:r>
    </w:p>
    <w:p>
      <w:pPr>
        <w:ind w:firstLine="632" w:firstLineChars="200"/>
        <w:rPr>
          <w:rFonts w:hint="eastAsia" w:ascii="仿宋_GB2312" w:eastAsia="仿宋_GB2312"/>
          <w:b/>
          <w:szCs w:val="32"/>
        </w:rPr>
      </w:pPr>
      <w:r>
        <w:rPr>
          <w:rFonts w:hint="eastAsia" w:ascii="仿宋_GB2312" w:eastAsia="仿宋_GB2312"/>
          <w:szCs w:val="32"/>
          <w:lang w:eastAsia="zh-CN"/>
        </w:rPr>
        <w:t>2019</w:t>
      </w:r>
      <w:r>
        <w:rPr>
          <w:rFonts w:hint="eastAsia" w:ascii="仿宋_GB2312" w:eastAsia="仿宋_GB2312"/>
          <w:szCs w:val="32"/>
        </w:rPr>
        <w:t>年度，机关运行经费支出</w:t>
      </w:r>
      <w:r>
        <w:rPr>
          <w:rFonts w:hint="eastAsia" w:ascii="仿宋_GB2312" w:eastAsia="仿宋_GB2312"/>
          <w:szCs w:val="32"/>
          <w:lang w:val="en-US" w:eastAsia="zh-CN"/>
        </w:rPr>
        <w:t>47.48</w:t>
      </w:r>
      <w:r>
        <w:rPr>
          <w:rFonts w:hint="eastAsia" w:ascii="仿宋_GB2312" w:eastAsia="仿宋_GB2312"/>
          <w:szCs w:val="32"/>
        </w:rPr>
        <w:t>万元，与2019年预算持平</w:t>
      </w:r>
      <w:r>
        <w:rPr>
          <w:rFonts w:hint="eastAsia" w:ascii="仿宋_GB2312" w:eastAsia="仿宋_GB2312"/>
          <w:szCs w:val="32"/>
          <w:lang w:eastAsia="zh-CN"/>
        </w:rPr>
        <w:t>。</w:t>
      </w:r>
      <w:r>
        <w:rPr>
          <w:rFonts w:hint="eastAsia" w:ascii="仿宋_GB2312" w:eastAsia="仿宋_GB2312"/>
          <w:szCs w:val="32"/>
        </w:rPr>
        <w:t>主要原因是响应国家号召</w:t>
      </w:r>
      <w:r>
        <w:rPr>
          <w:rFonts w:hint="eastAsia" w:ascii="仿宋_GB2312" w:eastAsia="仿宋_GB2312"/>
          <w:szCs w:val="32"/>
          <w:lang w:eastAsia="zh-CN"/>
        </w:rPr>
        <w:t>，合理规范日常经费</w:t>
      </w:r>
      <w:r>
        <w:rPr>
          <w:rFonts w:hint="eastAsia" w:ascii="仿宋_GB2312" w:eastAsia="仿宋_GB2312"/>
          <w:szCs w:val="32"/>
        </w:rPr>
        <w:t>。</w:t>
      </w:r>
    </w:p>
    <w:p>
      <w:pPr>
        <w:ind w:firstLine="632" w:firstLineChars="200"/>
        <w:rPr>
          <w:rFonts w:ascii="楷体_GB2312" w:eastAsia="楷体_GB2312"/>
          <w:szCs w:val="32"/>
        </w:rPr>
      </w:pPr>
      <w:r>
        <w:rPr>
          <w:rFonts w:hint="eastAsia" w:ascii="楷体_GB2312" w:eastAsia="楷体_GB2312"/>
          <w:szCs w:val="32"/>
        </w:rPr>
        <w:t>（二）政府采购支出情况</w:t>
      </w:r>
    </w:p>
    <w:p>
      <w:pPr>
        <w:autoSpaceDE w:val="0"/>
        <w:autoSpaceDN w:val="0"/>
        <w:adjustRightInd w:val="0"/>
        <w:ind w:firstLine="632" w:firstLineChars="200"/>
        <w:jc w:val="left"/>
        <w:rPr>
          <w:rFonts w:ascii="仿宋_GB2312" w:hAnsi="仿宋_GB2312" w:eastAsia="仿宋_GB2312" w:cs="仿宋_GB2312"/>
          <w:sz w:val="32"/>
          <w:szCs w:val="32"/>
        </w:rPr>
      </w:pPr>
      <w:r>
        <w:rPr>
          <w:rFonts w:ascii="仿宋_GB2312" w:hAnsi="Times New Roman" w:eastAsia="仿宋_GB2312" w:cs="仿宋_GB2312"/>
          <w:kern w:val="0"/>
          <w:sz w:val="32"/>
          <w:szCs w:val="32"/>
        </w:rPr>
        <w:t xml:space="preserve">2019 </w:t>
      </w:r>
      <w:r>
        <w:rPr>
          <w:rFonts w:hint="eastAsia" w:ascii="仿宋_GB2312" w:hAnsi="Times New Roman" w:eastAsia="仿宋_GB2312" w:cs="仿宋_GB2312"/>
          <w:kern w:val="0"/>
          <w:sz w:val="32"/>
          <w:szCs w:val="32"/>
        </w:rPr>
        <w:t>年度政府采购支出总额0万元，其中：政府采购货物支出0万元、政府采购工程支出0万元、政府采购服务支出0万元。授予中小企业合同金额0万元，占政府采购支出总额的0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，其中：授予小微企业合同金额0万元，占政府采购支出总额的0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w:t>
      </w:r>
    </w:p>
    <w:p>
      <w:pPr>
        <w:ind w:firstLine="632" w:firstLineChars="200"/>
        <w:rPr>
          <w:rFonts w:ascii="楷体_GB2312" w:eastAsia="楷体_GB2312"/>
          <w:szCs w:val="32"/>
          <w:highlight w:val="yellow"/>
        </w:rPr>
      </w:pPr>
      <w:r>
        <w:rPr>
          <w:rFonts w:hint="eastAsia" w:ascii="楷体_GB2312" w:eastAsia="楷体_GB2312"/>
          <w:szCs w:val="32"/>
        </w:rPr>
        <w:t>（三）国有资产占用情况</w:t>
      </w:r>
    </w:p>
    <w:p>
      <w:pPr>
        <w:spacing w:line="580" w:lineRule="exact"/>
        <w:ind w:firstLine="600"/>
        <w:rPr>
          <w:rFonts w:hint="eastAsia" w:ascii="仿宋_GB2312" w:eastAsia="仿宋_GB2312"/>
          <w:b/>
          <w:sz w:val="32"/>
          <w:szCs w:val="32"/>
          <w:lang w:eastAsia="zh-CN"/>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w:t>
      </w:r>
      <w:r>
        <w:rPr>
          <w:rFonts w:hint="eastAsia" w:ascii="仿宋_GB2312" w:hAnsi="宋体" w:eastAsia="仿宋_GB2312" w:cs="Courier New"/>
          <w:szCs w:val="32"/>
          <w:lang w:eastAsia="zh-CN"/>
        </w:rPr>
        <w:t>本部门</w:t>
      </w:r>
      <w:r>
        <w:rPr>
          <w:rFonts w:hint="eastAsia" w:ascii="仿宋_GB2312" w:hAnsi="宋体" w:eastAsia="仿宋_GB2312" w:cs="Courier New"/>
          <w:szCs w:val="32"/>
        </w:rPr>
        <w:t>共有车辆</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辆，其中，符合规定的领导干部用车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w:t>
      </w:r>
      <w:r>
        <w:rPr>
          <w:rFonts w:hint="eastAsia" w:ascii="仿宋_GB2312" w:hAnsi="宋体" w:eastAsia="仿宋_GB2312" w:cs="Courier New"/>
          <w:sz w:val="32"/>
          <w:szCs w:val="32"/>
        </w:rPr>
        <w:t>单位价值50万元以上通用设备</w:t>
      </w:r>
      <w:r>
        <w:rPr>
          <w:rFonts w:hint="eastAsia" w:ascii="仿宋_GB2312" w:hAnsi="宋体" w:eastAsia="仿宋_GB2312" w:cs="Courier New"/>
          <w:sz w:val="32"/>
          <w:szCs w:val="32"/>
          <w:lang w:val="en-US" w:eastAsia="zh-CN"/>
        </w:rPr>
        <w:t>0</w:t>
      </w:r>
      <w:r>
        <w:rPr>
          <w:rFonts w:hint="eastAsia" w:ascii="仿宋_GB2312" w:hAnsi="宋体" w:eastAsia="仿宋_GB2312" w:cs="Courier New"/>
          <w:sz w:val="32"/>
          <w:szCs w:val="32"/>
        </w:rPr>
        <w:t>台（套），单位价值100万元以上专用设备</w:t>
      </w:r>
      <w:r>
        <w:rPr>
          <w:rFonts w:hint="eastAsia" w:ascii="仿宋_GB2312" w:hAnsi="宋体" w:eastAsia="仿宋_GB2312" w:cs="Courier New"/>
          <w:sz w:val="32"/>
          <w:szCs w:val="32"/>
          <w:lang w:val="en-US" w:eastAsia="zh-CN"/>
        </w:rPr>
        <w:t>0</w:t>
      </w:r>
      <w:r>
        <w:rPr>
          <w:rFonts w:hint="eastAsia" w:ascii="仿宋_GB2312" w:hAnsi="宋体" w:eastAsia="仿宋_GB2312" w:cs="Courier New"/>
          <w:sz w:val="32"/>
          <w:szCs w:val="32"/>
        </w:rPr>
        <w:t>台（套）。</w:t>
      </w:r>
    </w:p>
    <w:p>
      <w:pPr>
        <w:ind w:firstLine="632" w:firstLineChars="200"/>
        <w:rPr>
          <w:rFonts w:ascii="楷体_GB2312" w:eastAsia="楷体_GB2312"/>
          <w:szCs w:val="32"/>
        </w:rPr>
      </w:pPr>
      <w:r>
        <w:rPr>
          <w:rFonts w:hint="eastAsia" w:ascii="楷体_GB2312" w:eastAsia="楷体_GB2312"/>
          <w:szCs w:val="32"/>
        </w:rPr>
        <w:t>（四）预算绩效情况</w:t>
      </w:r>
    </w:p>
    <w:p>
      <w:pPr>
        <w:spacing w:line="580" w:lineRule="exact"/>
        <w:ind w:firstLine="632"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本部门无绩效自评项目和重点绩效评价项目。</w:t>
      </w:r>
    </w:p>
    <w:p>
      <w:pPr>
        <w:rPr>
          <w:rFonts w:ascii="方正小标宋简体" w:eastAsia="方正小标宋简体"/>
          <w:sz w:val="42"/>
        </w:rPr>
      </w:pPr>
    </w:p>
    <w:p>
      <w:pPr>
        <w:rPr>
          <w:rFonts w:ascii="方正小标宋简体" w:eastAsia="方正小标宋简体"/>
          <w:sz w:val="42"/>
        </w:rPr>
      </w:pPr>
    </w:p>
    <w:p>
      <w:pPr>
        <w:rPr>
          <w:rFonts w:ascii="方正小标宋简体" w:eastAsia="方正小标宋简体"/>
          <w:sz w:val="42"/>
        </w:rPr>
      </w:pPr>
    </w:p>
    <w:p>
      <w:pPr>
        <w:ind w:firstLine="536" w:firstLineChars="100"/>
        <w:rPr>
          <w:rFonts w:ascii="方正小标宋简体" w:eastAsia="方正小标宋简体"/>
          <w:spacing w:val="60"/>
          <w:sz w:val="42"/>
        </w:rPr>
      </w:pPr>
    </w:p>
    <w:p>
      <w:pPr>
        <w:ind w:firstLine="536" w:firstLineChars="100"/>
        <w:rPr>
          <w:rFonts w:ascii="仿宋" w:hAnsi="仿宋" w:eastAsia="仿宋" w:cs="仿宋"/>
          <w:spacing w:val="60"/>
          <w:sz w:val="42"/>
        </w:rPr>
      </w:pPr>
      <w:r>
        <w:rPr>
          <w:rFonts w:hint="eastAsia" w:ascii="仿宋" w:hAnsi="仿宋" w:eastAsia="仿宋" w:cs="仿宋"/>
          <w:spacing w:val="60"/>
          <w:sz w:val="42"/>
        </w:rPr>
        <w:t>第四部分</w:t>
      </w:r>
    </w:p>
    <w:p>
      <w:pPr>
        <w:jc w:val="center"/>
        <w:rPr>
          <w:rFonts w:ascii="仿宋" w:hAnsi="仿宋" w:eastAsia="仿宋" w:cs="仿宋"/>
          <w:spacing w:val="60"/>
          <w:sz w:val="42"/>
        </w:rPr>
      </w:pPr>
    </w:p>
    <w:p>
      <w:pPr>
        <w:jc w:val="center"/>
        <w:rPr>
          <w:rFonts w:ascii="仿宋" w:hAnsi="仿宋" w:eastAsia="仿宋" w:cs="仿宋"/>
          <w:spacing w:val="60"/>
          <w:sz w:val="42"/>
        </w:rPr>
      </w:pPr>
    </w:p>
    <w:p>
      <w:pPr>
        <w:jc w:val="center"/>
        <w:rPr>
          <w:rFonts w:ascii="仿宋" w:hAnsi="仿宋" w:eastAsia="仿宋" w:cs="仿宋"/>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名词解释</w:t>
      </w:r>
    </w:p>
    <w:p>
      <w:pPr>
        <w:ind w:firstLine="640" w:firstLineChars="200"/>
        <w:rPr>
          <w:rFonts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指单位从同级财政部门取得的财政预算资金。按现行管理制度，省级部门决算中反映的财政拨款包括一般公共预算财政拨款和政府性基金财政拨款。</w:t>
      </w:r>
    </w:p>
    <w:p>
      <w:pPr>
        <w:ind w:firstLine="640" w:firstLineChars="200"/>
        <w:rPr>
          <w:rFonts w:ascii="仿宋_GB2312" w:hAnsi="仿宋" w:eastAsia="仿宋_GB2312"/>
          <w:szCs w:val="32"/>
        </w:rPr>
      </w:pPr>
      <w:r>
        <w:rPr>
          <w:rFonts w:hint="eastAsia" w:ascii="黑体" w:hAnsi="黑体" w:eastAsia="黑体"/>
          <w:szCs w:val="32"/>
        </w:rPr>
        <w:t>二、基本支出：</w:t>
      </w:r>
      <w:r>
        <w:rPr>
          <w:rFonts w:hint="eastAsia" w:ascii="仿宋_GB2312" w:eastAsia="仿宋_GB2312"/>
          <w:szCs w:val="32"/>
        </w:rPr>
        <w:t>指单位为保障其机构正常运转、完成日常工作任务而发生的人员支出和日常公用支出。</w:t>
      </w:r>
    </w:p>
    <w:p>
      <w:pPr>
        <w:ind w:firstLine="640" w:firstLineChars="200"/>
        <w:rPr>
          <w:rFonts w:ascii="仿宋_GB2312" w:eastAsia="仿宋_GB2312"/>
          <w:szCs w:val="32"/>
        </w:rPr>
      </w:pPr>
      <w:r>
        <w:rPr>
          <w:rFonts w:hint="eastAsia" w:ascii="黑体" w:hAnsi="黑体" w:eastAsia="黑体"/>
          <w:szCs w:val="32"/>
          <w:lang w:eastAsia="zh-CN"/>
        </w:rPr>
        <w:t>三</w:t>
      </w:r>
      <w:r>
        <w:rPr>
          <w:rFonts w:hint="eastAsia" w:ascii="黑体" w:hAnsi="黑体" w:eastAsia="黑体"/>
          <w:szCs w:val="32"/>
        </w:rPr>
        <w:t>、项目支出：</w:t>
      </w:r>
      <w:r>
        <w:rPr>
          <w:rFonts w:hint="eastAsia" w:ascii="仿宋_GB2312" w:eastAsia="仿宋_GB2312"/>
          <w:szCs w:val="32"/>
        </w:rPr>
        <w:t>指单位在基本支出之外为完成特定的工作任务或事业发展目标所发生的支出。</w:t>
      </w:r>
    </w:p>
    <w:p>
      <w:pPr>
        <w:ind w:firstLine="640" w:firstLineChars="200"/>
        <w:rPr>
          <w:rFonts w:ascii="仿宋_GB2312" w:eastAsia="仿宋_GB2312"/>
          <w:szCs w:val="32"/>
        </w:rPr>
      </w:pPr>
      <w:r>
        <w:rPr>
          <w:rFonts w:hint="eastAsia" w:ascii="黑体" w:hAnsi="黑体" w:eastAsia="黑体"/>
          <w:szCs w:val="32"/>
        </w:rPr>
        <w:t>四、“三公”经费：</w:t>
      </w:r>
      <w:r>
        <w:rPr>
          <w:rFonts w:hint="eastAsia" w:ascii="仿宋_GB2312" w:eastAsia="仿宋_GB2312"/>
          <w:szCs w:val="32"/>
        </w:rPr>
        <w:t>指市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pPr>
        <w:ind w:firstLine="640" w:firstLineChars="200"/>
        <w:rPr>
          <w:rFonts w:hint="eastAsia" w:ascii="仿宋_GB2312" w:eastAsia="仿宋_GB2312"/>
          <w:szCs w:val="32"/>
        </w:rPr>
      </w:pPr>
      <w:r>
        <w:rPr>
          <w:rFonts w:hint="eastAsia" w:ascii="黑体" w:hAnsi="黑体" w:eastAsia="黑体"/>
          <w:szCs w:val="32"/>
        </w:rPr>
        <w:t>五、机关运行经费：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办公用房水电费、办公用房取暖费、办公用房物业管理费、其他费用</w:t>
      </w:r>
      <w:r>
        <w:rPr>
          <w:rFonts w:hint="eastAsia" w:ascii="仿宋_GB2312" w:eastAsia="仿宋_GB2312"/>
          <w:szCs w:val="32"/>
          <w:lang w:eastAsia="zh-CN"/>
        </w:rPr>
        <w:t>等</w:t>
      </w:r>
      <w:r>
        <w:rPr>
          <w:rFonts w:hint="eastAsia" w:ascii="仿宋_GB2312" w:eastAsia="仿宋_GB2312"/>
          <w:szCs w:val="32"/>
        </w:rPr>
        <w:t>。</w:t>
      </w:r>
    </w:p>
    <w:p>
      <w:pPr>
        <w:ind w:firstLine="640" w:firstLineChars="200"/>
        <w:rPr>
          <w:rFonts w:hint="eastAsia" w:ascii="仿宋_GB2312" w:eastAsia="仿宋_GB2312"/>
          <w:color w:val="auto"/>
          <w:sz w:val="32"/>
          <w:szCs w:val="32"/>
          <w:highlight w:val="none"/>
        </w:rPr>
      </w:pPr>
      <w:r>
        <w:rPr>
          <w:rFonts w:hint="eastAsia" w:ascii="黑体" w:hAnsi="黑体" w:eastAsia="黑体"/>
          <w:szCs w:val="32"/>
          <w:highlight w:val="none"/>
          <w:shd w:val="clear" w:color="auto" w:fill="auto"/>
        </w:rPr>
        <w:t>六、一般公共服务支出（类）</w:t>
      </w:r>
      <w:r>
        <w:rPr>
          <w:rFonts w:hint="eastAsia" w:ascii="黑体" w:hAnsi="黑体" w:eastAsia="黑体"/>
          <w:szCs w:val="32"/>
          <w:highlight w:val="none"/>
          <w:shd w:val="clear" w:color="auto" w:fill="auto"/>
          <w:lang w:eastAsia="zh-CN"/>
        </w:rPr>
        <w:t>发展与改革事务</w:t>
      </w:r>
      <w:r>
        <w:rPr>
          <w:rFonts w:hint="eastAsia" w:ascii="黑体" w:hAnsi="黑体" w:eastAsia="黑体"/>
          <w:szCs w:val="32"/>
          <w:highlight w:val="none"/>
          <w:shd w:val="clear" w:color="auto" w:fill="auto"/>
        </w:rPr>
        <w:t>（款）行政运行（项）：</w:t>
      </w:r>
      <w:r>
        <w:rPr>
          <w:rFonts w:hint="eastAsia" w:ascii="仿宋_GB2312" w:eastAsia="仿宋_GB2312"/>
          <w:szCs w:val="32"/>
          <w:highlight w:val="none"/>
          <w:shd w:val="clear" w:color="auto" w:fill="auto"/>
        </w:rPr>
        <w:t>反映</w:t>
      </w:r>
      <w:r>
        <w:rPr>
          <w:rFonts w:hint="eastAsia" w:ascii="仿宋_GB2312" w:eastAsia="仿宋_GB2312"/>
          <w:color w:val="auto"/>
          <w:sz w:val="32"/>
          <w:szCs w:val="32"/>
          <w:highlight w:val="none"/>
        </w:rPr>
        <w:t>行政单位（包括实行公务员管理的事业单位）的基本支出。</w:t>
      </w:r>
    </w:p>
    <w:p>
      <w:pPr>
        <w:widowControl/>
        <w:ind w:firstLine="640" w:firstLineChars="200"/>
        <w:jc w:val="left"/>
        <w:rPr>
          <w:rFonts w:hint="eastAsia" w:ascii="仿宋_GB2312" w:eastAsia="仿宋_GB2312"/>
          <w:szCs w:val="32"/>
          <w:highlight w:val="none"/>
          <w:shd w:val="clear" w:color="auto" w:fill="auto"/>
        </w:rPr>
      </w:pPr>
      <w:r>
        <w:rPr>
          <w:rFonts w:hint="eastAsia" w:ascii="黑体" w:hAnsi="黑体" w:eastAsia="黑体"/>
          <w:szCs w:val="32"/>
          <w:highlight w:val="none"/>
          <w:shd w:val="clear" w:color="auto" w:fill="auto"/>
        </w:rPr>
        <w:t>七、一般公共服务支出（类）</w:t>
      </w:r>
      <w:r>
        <w:rPr>
          <w:rFonts w:hint="eastAsia" w:ascii="黑体" w:hAnsi="黑体" w:eastAsia="黑体"/>
          <w:szCs w:val="32"/>
          <w:highlight w:val="none"/>
          <w:shd w:val="clear" w:color="auto" w:fill="auto"/>
          <w:lang w:eastAsia="zh-CN"/>
        </w:rPr>
        <w:t>发展与改革事务</w:t>
      </w:r>
      <w:r>
        <w:rPr>
          <w:rFonts w:hint="eastAsia" w:ascii="黑体" w:hAnsi="黑体" w:eastAsia="黑体"/>
          <w:szCs w:val="32"/>
          <w:highlight w:val="none"/>
          <w:shd w:val="clear" w:color="auto" w:fill="auto"/>
        </w:rPr>
        <w:t>（款）</w:t>
      </w:r>
      <w:r>
        <w:rPr>
          <w:rFonts w:hint="eastAsia" w:ascii="黑体" w:hAnsi="黑体" w:eastAsia="黑体"/>
          <w:szCs w:val="32"/>
          <w:highlight w:val="none"/>
          <w:shd w:val="clear" w:color="auto" w:fill="auto"/>
          <w:lang w:eastAsia="zh-CN"/>
        </w:rPr>
        <w:t>物价管理</w:t>
      </w:r>
      <w:r>
        <w:rPr>
          <w:rFonts w:hint="eastAsia" w:ascii="黑体" w:hAnsi="黑体" w:eastAsia="黑体"/>
          <w:szCs w:val="32"/>
          <w:highlight w:val="none"/>
          <w:shd w:val="clear" w:color="auto" w:fill="auto"/>
        </w:rPr>
        <w:t>（项）：</w:t>
      </w:r>
      <w:r>
        <w:rPr>
          <w:rFonts w:hint="eastAsia" w:ascii="仿宋_GB2312" w:eastAsia="仿宋_GB2312"/>
          <w:szCs w:val="32"/>
          <w:highlight w:val="none"/>
          <w:shd w:val="clear" w:color="auto" w:fill="auto"/>
        </w:rPr>
        <w:t>反映行政单位（包括实行公务员管理的事业单位）未单独设置项级科目的其他项目支出。</w:t>
      </w:r>
    </w:p>
    <w:p>
      <w:pPr>
        <w:numPr>
          <w:ilvl w:val="0"/>
          <w:numId w:val="0"/>
        </w:numPr>
        <w:spacing w:line="580" w:lineRule="exact"/>
        <w:ind w:firstLine="640" w:firstLineChars="200"/>
        <w:rPr>
          <w:rFonts w:hint="eastAsia" w:ascii="仿宋_GB2312" w:eastAsia="仿宋_GB2312"/>
          <w:color w:val="0000FF"/>
          <w:szCs w:val="32"/>
          <w:lang w:eastAsia="zh-CN"/>
        </w:rPr>
      </w:pPr>
      <w:r>
        <w:rPr>
          <w:rFonts w:hint="eastAsia" w:ascii="黑体" w:hAnsi="黑体" w:eastAsia="黑体"/>
          <w:szCs w:val="32"/>
          <w:highlight w:val="none"/>
          <w:shd w:val="clear" w:color="auto" w:fill="auto"/>
          <w:lang w:val="en-US" w:eastAsia="zh-CN"/>
        </w:rPr>
        <w:t>八、</w:t>
      </w:r>
      <w:r>
        <w:rPr>
          <w:rFonts w:hint="eastAsia" w:ascii="黑体" w:hAnsi="黑体" w:eastAsia="黑体"/>
          <w:szCs w:val="32"/>
          <w:highlight w:val="none"/>
          <w:shd w:val="clear" w:color="auto" w:fill="auto"/>
        </w:rPr>
        <w:t>一般公共服务支出（类）发展与改革事务（款）</w:t>
      </w:r>
      <w:r>
        <w:rPr>
          <w:rFonts w:hint="eastAsia" w:ascii="黑体" w:hAnsi="黑体" w:eastAsia="黑体"/>
          <w:szCs w:val="32"/>
          <w:highlight w:val="none"/>
          <w:shd w:val="clear" w:color="auto" w:fill="auto"/>
          <w:lang w:eastAsia="zh-CN"/>
        </w:rPr>
        <w:t>其他一般公共服务支出</w:t>
      </w:r>
      <w:r>
        <w:rPr>
          <w:rFonts w:hint="eastAsia" w:ascii="黑体" w:hAnsi="黑体" w:eastAsia="黑体"/>
          <w:szCs w:val="32"/>
          <w:highlight w:val="none"/>
          <w:shd w:val="clear" w:color="auto" w:fill="auto"/>
        </w:rPr>
        <w:t>（项）。</w:t>
      </w:r>
      <w:r>
        <w:rPr>
          <w:rFonts w:hint="eastAsia" w:ascii="仿宋_GB2312" w:eastAsia="仿宋_GB2312"/>
          <w:color w:val="auto"/>
          <w:sz w:val="32"/>
          <w:szCs w:val="32"/>
          <w:highlight w:val="none"/>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eastAsia="仿宋_GB2312"/>
          <w:color w:val="auto"/>
          <w:sz w:val="32"/>
          <w:szCs w:val="32"/>
          <w:highlight w:val="none"/>
          <w:lang w:eastAsia="zh-CN"/>
        </w:rPr>
        <w:t>各项税金及其他商品和服务支出。</w:t>
      </w:r>
    </w:p>
    <w:p>
      <w:pPr>
        <w:spacing w:line="580" w:lineRule="exact"/>
        <w:ind w:firstLine="640" w:firstLineChars="200"/>
        <w:rPr>
          <w:rFonts w:hint="eastAsia" w:ascii="仿宋_GB2312" w:eastAsia="仿宋_GB2312"/>
          <w:color w:val="auto"/>
          <w:sz w:val="32"/>
          <w:szCs w:val="32"/>
          <w:lang w:eastAsia="zh-CN"/>
        </w:rPr>
      </w:pPr>
      <w:r>
        <w:rPr>
          <w:rFonts w:hint="eastAsia" w:ascii="黑体" w:hAnsi="黑体" w:eastAsia="黑体"/>
          <w:szCs w:val="32"/>
          <w:highlight w:val="none"/>
          <w:shd w:val="clear" w:color="auto" w:fill="auto"/>
          <w:lang w:val="en-US" w:eastAsia="zh-CN"/>
        </w:rPr>
        <w:t>九、社会保障和就业支出（类）行政事业单位离退休（款）机关事业单位基本养老保险缴费支出（项）。</w:t>
      </w:r>
      <w:r>
        <w:rPr>
          <w:rFonts w:hint="eastAsia" w:ascii="仿宋_GB2312" w:eastAsia="仿宋_GB2312"/>
          <w:color w:val="auto"/>
          <w:sz w:val="32"/>
          <w:szCs w:val="32"/>
          <w:lang w:eastAsia="zh-CN"/>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eastAsia="仿宋_GB2312"/>
          <w:color w:val="auto"/>
          <w:sz w:val="32"/>
          <w:szCs w:val="32"/>
          <w:lang w:eastAsia="zh-CN"/>
        </w:rPr>
        <w:t>离退休养老保险经费。</w:t>
      </w:r>
    </w:p>
    <w:p>
      <w:pPr>
        <w:spacing w:line="580" w:lineRule="exact"/>
        <w:ind w:firstLine="640" w:firstLineChars="200"/>
        <w:rPr>
          <w:rFonts w:hint="eastAsia" w:ascii="仿宋_GB2312" w:eastAsia="仿宋_GB2312"/>
          <w:color w:val="auto"/>
          <w:sz w:val="32"/>
          <w:szCs w:val="32"/>
        </w:rPr>
      </w:pPr>
      <w:r>
        <w:rPr>
          <w:rFonts w:hint="eastAsia" w:ascii="黑体" w:hAnsi="黑体" w:eastAsia="黑体"/>
          <w:szCs w:val="32"/>
          <w:highlight w:val="none"/>
          <w:shd w:val="clear" w:color="auto" w:fill="auto"/>
          <w:lang w:val="en-US" w:eastAsia="zh-CN"/>
        </w:rPr>
        <w:t>十、社会保障和就业支出（类）其他社会保障和就业支出（款）其他社会保障和就业支出（项）。</w:t>
      </w:r>
      <w:r>
        <w:rPr>
          <w:rFonts w:hint="eastAsia" w:ascii="仿宋_GB2312" w:eastAsia="仿宋_GB2312"/>
          <w:color w:val="auto"/>
          <w:sz w:val="32"/>
          <w:szCs w:val="32"/>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eastAsia="仿宋_GB2312"/>
          <w:color w:val="auto"/>
          <w:sz w:val="32"/>
          <w:szCs w:val="32"/>
        </w:rPr>
        <w:t>社会保障和就业支出</w:t>
      </w:r>
      <w:r>
        <w:rPr>
          <w:rFonts w:hint="eastAsia" w:ascii="仿宋_GB2312" w:eastAsia="仿宋_GB2312"/>
          <w:color w:val="auto"/>
          <w:sz w:val="32"/>
          <w:szCs w:val="32"/>
          <w:lang w:eastAsia="zh-CN"/>
        </w:rPr>
        <w:t>经费</w:t>
      </w:r>
      <w:r>
        <w:rPr>
          <w:rFonts w:hint="eastAsia" w:ascii="仿宋_GB2312" w:eastAsia="仿宋_GB2312"/>
          <w:color w:val="auto"/>
          <w:sz w:val="32"/>
          <w:szCs w:val="32"/>
        </w:rPr>
        <w:t>。</w:t>
      </w:r>
    </w:p>
    <w:p>
      <w:pPr>
        <w:spacing w:line="580" w:lineRule="exact"/>
        <w:ind w:firstLine="640" w:firstLineChars="200"/>
        <w:rPr>
          <w:rFonts w:hint="eastAsia" w:ascii="仿宋_GB2312" w:hAnsi="仿宋_GB2312" w:eastAsia="仿宋_GB2312" w:cs="仿宋_GB2312"/>
          <w:color w:val="auto"/>
          <w:sz w:val="32"/>
          <w:szCs w:val="32"/>
        </w:rPr>
      </w:pPr>
      <w:r>
        <w:rPr>
          <w:rFonts w:hint="eastAsia" w:ascii="黑体" w:hAnsi="黑体" w:eastAsia="黑体"/>
          <w:szCs w:val="32"/>
          <w:highlight w:val="none"/>
          <w:shd w:val="clear" w:color="auto" w:fill="auto"/>
          <w:lang w:val="en-US" w:eastAsia="zh-CN"/>
        </w:rPr>
        <w:t>十一、医疗卫生和计划生育支出（类）医疗保障（款）事业单位医疗（项）。</w:t>
      </w:r>
      <w:r>
        <w:rPr>
          <w:rFonts w:hint="eastAsia" w:ascii="仿宋_GB2312" w:eastAsia="仿宋_GB2312"/>
          <w:color w:val="auto"/>
          <w:sz w:val="32"/>
          <w:szCs w:val="32"/>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hAnsi="仿宋_GB2312" w:eastAsia="仿宋_GB2312" w:cs="仿宋_GB2312"/>
          <w:color w:val="auto"/>
          <w:sz w:val="32"/>
          <w:szCs w:val="32"/>
        </w:rPr>
        <w:t>机关在职人员医疗保险支出</w:t>
      </w:r>
      <w:r>
        <w:rPr>
          <w:rFonts w:hint="eastAsia" w:ascii="仿宋_GB2312" w:hAnsi="仿宋_GB2312" w:eastAsia="仿宋_GB2312" w:cs="仿宋_GB2312"/>
          <w:color w:val="auto"/>
          <w:sz w:val="32"/>
          <w:szCs w:val="32"/>
          <w:lang w:eastAsia="zh-CN"/>
        </w:rPr>
        <w:t>经费</w:t>
      </w:r>
      <w:r>
        <w:rPr>
          <w:rFonts w:hint="eastAsia" w:ascii="仿宋_GB2312" w:hAnsi="仿宋_GB2312" w:eastAsia="仿宋_GB2312" w:cs="仿宋_GB2312"/>
          <w:color w:val="auto"/>
          <w:sz w:val="32"/>
          <w:szCs w:val="32"/>
        </w:rPr>
        <w:t>。</w:t>
      </w:r>
    </w:p>
    <w:p>
      <w:pPr>
        <w:spacing w:line="580" w:lineRule="exact"/>
        <w:ind w:firstLine="640" w:firstLineChars="200"/>
        <w:rPr>
          <w:rFonts w:hint="eastAsia" w:ascii="仿宋_GB2312" w:eastAsia="仿宋_GB2312"/>
          <w:color w:val="auto"/>
          <w:sz w:val="32"/>
          <w:szCs w:val="32"/>
        </w:rPr>
      </w:pPr>
      <w:r>
        <w:rPr>
          <w:rFonts w:hint="eastAsia" w:ascii="黑体" w:hAnsi="黑体" w:eastAsia="黑体"/>
          <w:szCs w:val="32"/>
          <w:highlight w:val="none"/>
          <w:shd w:val="clear" w:color="auto" w:fill="auto"/>
          <w:lang w:val="en-US" w:eastAsia="zh-CN"/>
        </w:rPr>
        <w:t>十二、医疗卫生和计划生育支出（类）医疗保障（款）公务员医疗补助（项）。</w:t>
      </w:r>
      <w:r>
        <w:rPr>
          <w:rFonts w:hint="eastAsia" w:ascii="仿宋_GB2312" w:eastAsia="仿宋_GB2312"/>
          <w:color w:val="auto"/>
          <w:sz w:val="32"/>
          <w:szCs w:val="32"/>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hAnsi="仿宋_GB2312" w:eastAsia="仿宋_GB2312" w:cs="仿宋_GB2312"/>
          <w:color w:val="auto"/>
          <w:sz w:val="32"/>
          <w:szCs w:val="32"/>
        </w:rPr>
        <w:t>机关在职人员医疗保险支出</w:t>
      </w:r>
      <w:r>
        <w:rPr>
          <w:rFonts w:hint="eastAsia" w:ascii="仿宋_GB2312" w:hAnsi="仿宋_GB2312" w:eastAsia="仿宋_GB2312" w:cs="仿宋_GB2312"/>
          <w:color w:val="auto"/>
          <w:sz w:val="32"/>
          <w:szCs w:val="32"/>
          <w:lang w:eastAsia="zh-CN"/>
        </w:rPr>
        <w:t>经费</w:t>
      </w:r>
      <w:r>
        <w:rPr>
          <w:rFonts w:hint="eastAsia" w:ascii="仿宋_GB2312" w:hAnsi="仿宋_GB2312" w:eastAsia="仿宋_GB2312" w:cs="仿宋_GB2312"/>
          <w:color w:val="auto"/>
          <w:sz w:val="32"/>
          <w:szCs w:val="32"/>
        </w:rPr>
        <w:t>。</w:t>
      </w:r>
    </w:p>
    <w:p>
      <w:pPr>
        <w:suppressAutoHyphens/>
        <w:spacing w:line="580" w:lineRule="exact"/>
        <w:rPr>
          <w:color w:val="auto"/>
        </w:rPr>
      </w:pPr>
      <w:r>
        <w:rPr>
          <w:rFonts w:hint="eastAsia" w:ascii="仿宋_GB2312" w:hAnsi="仿宋_GB2312" w:eastAsia="仿宋_GB2312" w:cs="仿宋_GB2312"/>
          <w:color w:val="auto"/>
          <w:sz w:val="32"/>
          <w:szCs w:val="32"/>
        </w:rPr>
        <w:t xml:space="preserve">    </w:t>
      </w:r>
      <w:r>
        <w:rPr>
          <w:rFonts w:hint="eastAsia" w:ascii="黑体" w:hAnsi="黑体" w:eastAsia="黑体"/>
          <w:szCs w:val="32"/>
          <w:highlight w:val="none"/>
          <w:shd w:val="clear" w:color="auto" w:fill="auto"/>
          <w:lang w:val="en-US" w:eastAsia="zh-CN"/>
        </w:rPr>
        <w:t>十三、住房保障支出（类）住房改革支出（款）住房公积金（项）。</w:t>
      </w:r>
      <w:r>
        <w:rPr>
          <w:rFonts w:hint="eastAsia" w:ascii="仿宋_GB2312" w:eastAsia="仿宋_GB2312"/>
          <w:color w:val="auto"/>
          <w:sz w:val="32"/>
          <w:szCs w:val="32"/>
        </w:rPr>
        <w:t>反映</w:t>
      </w:r>
      <w:r>
        <w:rPr>
          <w:rFonts w:hint="eastAsia" w:ascii="仿宋_GB2312" w:eastAsia="仿宋_GB2312"/>
          <w:szCs w:val="32"/>
          <w:highlight w:val="none"/>
          <w:shd w:val="clear" w:color="auto" w:fill="auto"/>
        </w:rPr>
        <w:t>行政单位（包括实行公务员管理的事业单位）</w:t>
      </w:r>
      <w:r>
        <w:rPr>
          <w:rFonts w:hint="eastAsia" w:ascii="仿宋_GB2312" w:hAnsi="仿宋_GB2312" w:eastAsia="仿宋_GB2312" w:cs="仿宋_GB2312"/>
          <w:color w:val="auto"/>
          <w:sz w:val="32"/>
          <w:szCs w:val="32"/>
        </w:rPr>
        <w:t>机关在职人员住房公积金支出</w:t>
      </w:r>
      <w:r>
        <w:rPr>
          <w:rFonts w:hint="eastAsia" w:ascii="仿宋_GB2312" w:hAnsi="仿宋_GB2312" w:eastAsia="仿宋_GB2312" w:cs="仿宋_GB2312"/>
          <w:color w:val="auto"/>
          <w:sz w:val="32"/>
          <w:szCs w:val="32"/>
          <w:lang w:eastAsia="zh-CN"/>
        </w:rPr>
        <w:t>经费</w:t>
      </w:r>
      <w:r>
        <w:rPr>
          <w:rFonts w:hint="eastAsia" w:ascii="仿宋_GB2312" w:hAnsi="仿宋_GB2312" w:eastAsia="仿宋_GB2312" w:cs="仿宋_GB2312"/>
          <w:color w:val="auto"/>
          <w:sz w:val="32"/>
          <w:szCs w:val="32"/>
        </w:rPr>
        <w:t>。</w:t>
      </w:r>
    </w:p>
    <w:p>
      <w:pPr>
        <w:widowControl/>
        <w:ind w:firstLine="640" w:firstLineChars="200"/>
        <w:jc w:val="left"/>
        <w:rPr>
          <w:rFonts w:hint="default" w:ascii="仿宋_GB2312" w:eastAsia="仿宋_GB2312"/>
          <w:szCs w:val="32"/>
          <w:highlight w:val="none"/>
          <w:shd w:val="clear" w:color="auto" w:fill="auto"/>
          <w:lang w:val="en-US" w:eastAsia="zh-CN"/>
        </w:rPr>
      </w:pPr>
    </w:p>
    <w:p>
      <w:pPr>
        <w:widowControl/>
        <w:jc w:val="left"/>
      </w:pPr>
      <w:r>
        <w:rPr>
          <w:rFonts w:ascii="仿宋_GB2312" w:hAnsi="仿宋_GB2312" w:eastAsia="仿宋_GB2312" w:cs="仿宋_GB2312"/>
          <w:color w:val="000000"/>
          <w:kern w:val="0"/>
          <w:sz w:val="31"/>
          <w:szCs w:val="31"/>
        </w:rPr>
        <w:t xml:space="preserve"> </w:t>
      </w:r>
    </w:p>
    <w:p>
      <w:pPr>
        <w:ind w:firstLine="640" w:firstLineChars="200"/>
        <w:rPr>
          <w:rFonts w:ascii="仿宋_GB2312" w:eastAsia="仿宋_GB2312"/>
          <w:szCs w:val="32"/>
          <w:highlight w:val="lightGray"/>
        </w:rPr>
      </w:pPr>
    </w:p>
    <w:p>
      <w:pPr>
        <w:ind w:firstLine="643" w:firstLineChars="200"/>
        <w:rPr>
          <w:rFonts w:ascii="仿宋_GB2312" w:eastAsia="仿宋_GB2312"/>
          <w:b/>
          <w:szCs w:val="32"/>
          <w:highlight w:val="lightGray"/>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仿宋" w:hAnsi="仿宋" w:eastAsia="仿宋" w:cs="仿宋"/>
          <w:spacing w:val="60"/>
          <w:sz w:val="42"/>
        </w:rPr>
      </w:pPr>
      <w:r>
        <w:rPr>
          <w:rFonts w:hint="eastAsia" w:ascii="仿宋" w:hAnsi="仿宋" w:eastAsia="仿宋" w:cs="仿宋"/>
          <w:spacing w:val="60"/>
          <w:sz w:val="42"/>
        </w:rPr>
        <w:t>第五部分</w:t>
      </w:r>
    </w:p>
    <w:p>
      <w:pPr>
        <w:jc w:val="center"/>
        <w:rPr>
          <w:rFonts w:ascii="仿宋" w:hAnsi="仿宋" w:eastAsia="仿宋" w:cs="仿宋"/>
          <w:spacing w:val="60"/>
          <w:sz w:val="42"/>
        </w:rPr>
      </w:pPr>
    </w:p>
    <w:p>
      <w:pPr>
        <w:jc w:val="center"/>
        <w:rPr>
          <w:rFonts w:ascii="仿宋" w:hAnsi="仿宋" w:eastAsia="仿宋" w:cs="仿宋"/>
          <w:spacing w:val="60"/>
          <w:sz w:val="42"/>
        </w:rPr>
      </w:pPr>
    </w:p>
    <w:p>
      <w:pPr>
        <w:jc w:val="center"/>
        <w:rPr>
          <w:rFonts w:ascii="仿宋" w:hAnsi="仿宋" w:eastAsia="仿宋" w:cs="仿宋"/>
          <w:spacing w:val="60"/>
          <w:sz w:val="48"/>
        </w:rPr>
      </w:pPr>
      <w:r>
        <w:rPr>
          <w:rFonts w:hint="eastAsia" w:ascii="仿宋" w:hAnsi="仿宋" w:eastAsia="仿宋" w:cs="仿宋"/>
          <w:spacing w:val="60"/>
          <w:sz w:val="48"/>
        </w:rPr>
        <w:t xml:space="preserve">  附  件</w:t>
      </w:r>
    </w:p>
    <w:p>
      <w:pPr>
        <w:tabs>
          <w:tab w:val="left" w:pos="5891"/>
        </w:tabs>
        <w:spacing w:line="580" w:lineRule="exact"/>
        <w:rPr>
          <w:rFonts w:ascii="仿宋" w:hAnsi="仿宋" w:eastAsia="仿宋" w:cs="仿宋"/>
          <w:szCs w:val="32"/>
        </w:rPr>
        <w:sectPr>
          <w:pgSz w:w="11906" w:h="16838"/>
          <w:pgMar w:top="2098" w:right="1418" w:bottom="1871" w:left="1531" w:header="851" w:footer="992" w:gutter="0"/>
          <w:cols w:space="720" w:num="1"/>
          <w:docGrid w:type="lines" w:linePitch="312" w:charSpace="0"/>
        </w:sectPr>
      </w:pPr>
    </w:p>
    <w:tbl>
      <w:tblPr>
        <w:tblStyle w:val="4"/>
        <w:tblpPr w:leftFromText="180" w:rightFromText="180" w:vertAnchor="text" w:horzAnchor="page" w:tblpX="2027" w:tblpY="259"/>
        <w:tblOverlap w:val="never"/>
        <w:tblW w:w="13189" w:type="dxa"/>
        <w:tblInd w:w="0" w:type="dxa"/>
        <w:tblLayout w:type="fixed"/>
        <w:tblCellMar>
          <w:top w:w="15" w:type="dxa"/>
          <w:left w:w="15" w:type="dxa"/>
          <w:bottom w:w="15" w:type="dxa"/>
          <w:right w:w="15" w:type="dxa"/>
        </w:tblCellMar>
      </w:tblPr>
      <w:tblGrid>
        <w:gridCol w:w="830"/>
        <w:gridCol w:w="5686"/>
        <w:gridCol w:w="3056"/>
        <w:gridCol w:w="1783"/>
        <w:gridCol w:w="321"/>
        <w:gridCol w:w="1233"/>
        <w:gridCol w:w="280"/>
      </w:tblGrid>
      <w:tr>
        <w:tblPrEx>
          <w:tblCellMar>
            <w:top w:w="15" w:type="dxa"/>
            <w:left w:w="15" w:type="dxa"/>
            <w:bottom w:w="15" w:type="dxa"/>
            <w:right w:w="15" w:type="dxa"/>
          </w:tblCellMar>
        </w:tblPrEx>
        <w:trPr>
          <w:trHeight w:val="459" w:hRule="atLeast"/>
        </w:trPr>
        <w:tc>
          <w:tcPr>
            <w:tcW w:w="13189" w:type="dxa"/>
            <w:gridSpan w:val="7"/>
            <w:noWrap/>
            <w:vAlign w:val="center"/>
          </w:tcPr>
          <w:p>
            <w:pPr>
              <w:ind w:firstLine="1320" w:firstLineChars="300"/>
              <w:rPr>
                <w:sz w:val="44"/>
                <w:szCs w:val="44"/>
              </w:rPr>
            </w:pPr>
            <w:r>
              <w:rPr>
                <w:rFonts w:hint="eastAsia"/>
                <w:sz w:val="44"/>
                <w:szCs w:val="44"/>
              </w:rPr>
              <w:t>2019年度威海市</w:t>
            </w:r>
            <w:r>
              <w:rPr>
                <w:rFonts w:hint="eastAsia"/>
                <w:sz w:val="44"/>
                <w:szCs w:val="44"/>
                <w:lang w:eastAsia="zh-CN"/>
              </w:rPr>
              <w:t>文登区原物价</w:t>
            </w:r>
            <w:r>
              <w:rPr>
                <w:rFonts w:hint="eastAsia"/>
                <w:sz w:val="44"/>
                <w:szCs w:val="44"/>
              </w:rPr>
              <w:t>局部门预算项目绩效自评情况汇总表</w:t>
            </w:r>
          </w:p>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2"/>
          <w:wAfter w:w="1513" w:type="dxa"/>
          <w:trHeight w:val="483" w:hRule="atLeast"/>
        </w:trPr>
        <w:tc>
          <w:tcPr>
            <w:tcW w:w="830" w:type="dxa"/>
            <w:noWrap/>
            <w:vAlign w:val="center"/>
          </w:tcPr>
          <w:p>
            <w:pPr>
              <w:rPr>
                <w:rFonts w:ascii="仿宋_GB2312" w:hAnsi="宋体" w:eastAsia="仿宋_GB2312" w:cs="仿宋_GB2312"/>
                <w:color w:val="000000"/>
                <w:sz w:val="28"/>
                <w:szCs w:val="28"/>
              </w:rPr>
            </w:pPr>
          </w:p>
        </w:tc>
        <w:tc>
          <w:tcPr>
            <w:tcW w:w="5686" w:type="dxa"/>
            <w:noWrap/>
            <w:vAlign w:val="center"/>
          </w:tcPr>
          <w:p>
            <w:pPr>
              <w:rPr>
                <w:rFonts w:ascii="仿宋_GB2312" w:hAnsi="宋体" w:eastAsia="仿宋_GB2312" w:cs="仿宋_GB2312"/>
                <w:color w:val="000000"/>
                <w:sz w:val="28"/>
                <w:szCs w:val="28"/>
              </w:rPr>
            </w:pPr>
          </w:p>
        </w:tc>
        <w:tc>
          <w:tcPr>
            <w:tcW w:w="3056" w:type="dxa"/>
            <w:noWrap/>
            <w:vAlign w:val="center"/>
          </w:tcPr>
          <w:p>
            <w:pPr>
              <w:rPr>
                <w:rFonts w:ascii="仿宋_GB2312" w:hAnsi="宋体" w:eastAsia="仿宋_GB2312" w:cs="仿宋_GB2312"/>
                <w:color w:val="000000"/>
                <w:sz w:val="28"/>
                <w:szCs w:val="28"/>
              </w:rPr>
            </w:pPr>
          </w:p>
        </w:tc>
        <w:tc>
          <w:tcPr>
            <w:tcW w:w="2104" w:type="dxa"/>
            <w:gridSpan w:val="2"/>
            <w:tcBorders>
              <w:bottom w:val="single" w:color="000000" w:sz="4" w:space="0"/>
            </w:tcBorders>
            <w:noWrap/>
            <w:vAlign w:val="center"/>
          </w:tcPr>
          <w:p>
            <w:pPr>
              <w:widowControl/>
              <w:jc w:val="right"/>
              <w:textAlignment w:val="center"/>
              <w:rPr>
                <w:rFonts w:ascii="黑体" w:hAnsi="宋体" w:eastAsia="黑体" w:cs="黑体"/>
                <w:color w:val="000000"/>
                <w:sz w:val="24"/>
              </w:rPr>
            </w:pPr>
            <w:r>
              <w:rPr>
                <w:rFonts w:hint="eastAsia" w:ascii="黑体" w:hAnsi="宋体" w:eastAsia="黑体" w:cs="黑体"/>
                <w:color w:val="000000"/>
                <w:kern w:val="0"/>
                <w:sz w:val="24"/>
              </w:rPr>
              <w:t>单位：万元</w:t>
            </w:r>
          </w:p>
        </w:tc>
      </w:tr>
      <w:tr>
        <w:tblPrEx>
          <w:tblCellMar>
            <w:top w:w="15" w:type="dxa"/>
            <w:left w:w="15" w:type="dxa"/>
            <w:bottom w:w="15" w:type="dxa"/>
            <w:right w:w="15" w:type="dxa"/>
          </w:tblCellMar>
        </w:tblPrEx>
        <w:trPr>
          <w:gridAfter w:val="1"/>
          <w:wAfter w:w="280" w:type="dxa"/>
          <w:trHeight w:val="319" w:hRule="atLeast"/>
        </w:trPr>
        <w:tc>
          <w:tcPr>
            <w:tcW w:w="830" w:type="dxa"/>
            <w:vMerge w:val="restart"/>
            <w:tcBorders>
              <w:top w:val="single" w:color="000000" w:sz="4" w:space="0"/>
              <w:left w:val="single" w:color="000000"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568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项目名称</w:t>
            </w:r>
          </w:p>
        </w:tc>
        <w:tc>
          <w:tcPr>
            <w:tcW w:w="305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资金使用单位</w:t>
            </w:r>
          </w:p>
        </w:tc>
        <w:tc>
          <w:tcPr>
            <w:tcW w:w="178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得分</w:t>
            </w:r>
          </w:p>
        </w:tc>
        <w:tc>
          <w:tcPr>
            <w:tcW w:w="1554"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等级</w:t>
            </w:r>
          </w:p>
        </w:tc>
      </w:tr>
      <w:tr>
        <w:tblPrEx>
          <w:tblCellMar>
            <w:top w:w="15" w:type="dxa"/>
            <w:left w:w="15" w:type="dxa"/>
            <w:bottom w:w="15" w:type="dxa"/>
            <w:right w:w="15" w:type="dxa"/>
          </w:tblCellMar>
        </w:tblPrEx>
        <w:trPr>
          <w:gridAfter w:val="1"/>
          <w:wAfter w:w="280" w:type="dxa"/>
          <w:trHeight w:val="513"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319"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1</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仿宋_GB2312" w:hAnsi="宋体" w:eastAsia="仿宋_GB2312" w:cs="仿宋_GB2312"/>
                <w:color w:val="000000"/>
                <w:sz w:val="24"/>
                <w:lang w:val="en-US" w:eastAsia="zh-CN"/>
              </w:rPr>
            </w:pPr>
            <w:r>
              <w:rPr>
                <w:rFonts w:hint="eastAsia" w:ascii="仿宋_GB2312" w:hAnsi="宋体" w:eastAsia="仿宋_GB2312" w:cs="仿宋_GB2312"/>
                <w:color w:val="000000"/>
                <w:sz w:val="24"/>
                <w:lang w:val="en-US" w:eastAsia="zh-CN"/>
              </w:rPr>
              <w:t>无</w:t>
            </w: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2</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3</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378"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4</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5</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bl>
    <w:p>
      <w:pPr>
        <w:spacing w:line="580" w:lineRule="exact"/>
        <w:ind w:firstLine="640" w:firstLineChars="200"/>
        <w:rPr>
          <w:rFonts w:ascii="黑体" w:hAnsi="黑体" w:eastAsia="黑体" w:cs="黑体"/>
          <w:szCs w:val="32"/>
          <w:highlight w:val="none"/>
        </w:rPr>
      </w:pPr>
      <w:r>
        <w:rPr>
          <w:rFonts w:hint="eastAsia" w:ascii="仿宋_GB2312" w:hAnsi="宋体" w:eastAsia="仿宋_GB2312" w:cs="Courier New"/>
          <w:sz w:val="32"/>
          <w:szCs w:val="32"/>
          <w:highlight w:val="none"/>
        </w:rPr>
        <w:t>本部门无绩效自评项目</w:t>
      </w:r>
      <w:r>
        <w:rPr>
          <w:rFonts w:hint="eastAsia" w:ascii="仿宋_GB2312" w:hAnsi="宋体" w:eastAsia="仿宋_GB2312" w:cs="Courier New"/>
          <w:sz w:val="32"/>
          <w:szCs w:val="32"/>
          <w:highlight w:val="none"/>
          <w:lang w:eastAsia="zh-CN"/>
        </w:rPr>
        <w:t>，故本表无数据</w:t>
      </w:r>
      <w:r>
        <w:rPr>
          <w:rFonts w:hint="eastAsia" w:ascii="仿宋_GB2312" w:hAnsi="宋体" w:eastAsia="仿宋_GB2312" w:cs="Courier New"/>
          <w:sz w:val="32"/>
          <w:szCs w:val="32"/>
          <w:highlight w:val="none"/>
        </w:rPr>
        <w:t>。</w:t>
      </w:r>
    </w:p>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sectPr>
          <w:pgSz w:w="16838" w:h="11906" w:orient="landscape"/>
          <w:pgMar w:top="1531" w:right="2098" w:bottom="1417" w:left="1871" w:header="851" w:footer="992" w:gutter="0"/>
          <w:cols w:space="720" w:num="1"/>
          <w:docGrid w:type="lines" w:linePitch="319" w:charSpace="0"/>
        </w:sectPr>
      </w:pPr>
    </w:p>
    <w:tbl>
      <w:tblPr>
        <w:tblStyle w:val="4"/>
        <w:tblW w:w="10400" w:type="dxa"/>
        <w:jc w:val="center"/>
        <w:tblLayout w:type="fixed"/>
        <w:tblCellMar>
          <w:top w:w="15" w:type="dxa"/>
          <w:left w:w="15" w:type="dxa"/>
          <w:bottom w:w="15" w:type="dxa"/>
          <w:right w:w="15" w:type="dxa"/>
        </w:tblCellMar>
      </w:tblPr>
      <w:tblGrid>
        <w:gridCol w:w="465"/>
        <w:gridCol w:w="823"/>
        <w:gridCol w:w="1475"/>
        <w:gridCol w:w="319"/>
        <w:gridCol w:w="2127"/>
        <w:gridCol w:w="278"/>
        <w:gridCol w:w="850"/>
        <w:gridCol w:w="770"/>
        <w:gridCol w:w="566"/>
        <w:gridCol w:w="284"/>
        <w:gridCol w:w="343"/>
        <w:gridCol w:w="407"/>
        <w:gridCol w:w="225"/>
        <w:gridCol w:w="1468"/>
      </w:tblGrid>
      <w:tr>
        <w:tblPrEx>
          <w:tblCellMar>
            <w:top w:w="15" w:type="dxa"/>
            <w:left w:w="15" w:type="dxa"/>
            <w:bottom w:w="15" w:type="dxa"/>
            <w:right w:w="15" w:type="dxa"/>
          </w:tblCellMar>
        </w:tblPrEx>
        <w:trPr>
          <w:trHeight w:val="339" w:hRule="atLeast"/>
          <w:jc w:val="center"/>
        </w:trPr>
        <w:tc>
          <w:tcPr>
            <w:tcW w:w="10400" w:type="dxa"/>
            <w:gridSpan w:val="14"/>
            <w:noWrap/>
            <w:vAlign w:val="center"/>
          </w:tcPr>
          <w:p>
            <w:pPr>
              <w:widowControl/>
              <w:jc w:val="left"/>
              <w:textAlignment w:val="center"/>
              <w:rPr>
                <w:rFonts w:ascii="仿宋_GB2312" w:hAnsi="方正小标宋简体" w:eastAsia="仿宋_GB2312" w:cs="方正小标宋简体"/>
                <w:color w:val="000000"/>
                <w:kern w:val="0"/>
                <w:szCs w:val="32"/>
              </w:rPr>
            </w:pPr>
          </w:p>
          <w:p>
            <w:pPr>
              <w:widowControl/>
              <w:jc w:val="center"/>
              <w:textAlignment w:val="center"/>
              <w:rPr>
                <w:rFonts w:ascii="方正小标宋简体" w:hAnsi="方正小标宋简体" w:eastAsia="方正小标宋简体" w:cs="方正小标宋简体"/>
                <w:color w:val="000000"/>
                <w:sz w:val="40"/>
                <w:szCs w:val="40"/>
              </w:rPr>
            </w:pPr>
            <w:r>
              <w:rPr>
                <w:rFonts w:hint="eastAsia"/>
                <w:sz w:val="44"/>
                <w:szCs w:val="44"/>
              </w:rPr>
              <w:t>市级预算项目支出绩效自评表</w:t>
            </w:r>
          </w:p>
        </w:tc>
      </w:tr>
      <w:tr>
        <w:tblPrEx>
          <w:tblCellMar>
            <w:top w:w="15" w:type="dxa"/>
            <w:left w:w="15" w:type="dxa"/>
            <w:bottom w:w="15" w:type="dxa"/>
            <w:right w:w="15" w:type="dxa"/>
          </w:tblCellMar>
        </w:tblPrEx>
        <w:trPr>
          <w:trHeight w:val="177" w:hRule="atLeast"/>
          <w:jc w:val="center"/>
        </w:trPr>
        <w:tc>
          <w:tcPr>
            <w:tcW w:w="10400" w:type="dxa"/>
            <w:gridSpan w:val="14"/>
            <w:noWrap/>
            <w:vAlign w:val="center"/>
          </w:tcPr>
          <w:p>
            <w:pPr>
              <w:widowControl/>
              <w:jc w:val="center"/>
              <w:textAlignment w:val="center"/>
              <w:rPr>
                <w:rFonts w:ascii="楷体_GB2312" w:hAnsi="宋体" w:eastAsia="楷体_GB2312" w:cs="楷体_GB2312"/>
                <w:color w:val="000000"/>
                <w:sz w:val="24"/>
              </w:rPr>
            </w:pPr>
            <w:r>
              <w:rPr>
                <w:rFonts w:hint="eastAsia" w:ascii="楷体_GB2312" w:hAnsi="宋体" w:eastAsia="楷体_GB2312" w:cs="楷体_GB2312"/>
                <w:color w:val="000000"/>
                <w:kern w:val="0"/>
                <w:sz w:val="24"/>
              </w:rPr>
              <w:t>（2019年度）</w:t>
            </w:r>
          </w:p>
        </w:tc>
      </w:tr>
      <w:tr>
        <w:tblPrEx>
          <w:tblCellMar>
            <w:top w:w="15" w:type="dxa"/>
            <w:left w:w="15" w:type="dxa"/>
            <w:bottom w:w="15" w:type="dxa"/>
            <w:right w:w="15" w:type="dxa"/>
          </w:tblCellMar>
        </w:tblPrEx>
        <w:trPr>
          <w:trHeight w:val="177" w:hRule="atLeast"/>
          <w:jc w:val="center"/>
        </w:trPr>
        <w:tc>
          <w:tcPr>
            <w:tcW w:w="465" w:type="dxa"/>
            <w:noWrap/>
            <w:vAlign w:val="center"/>
          </w:tcPr>
          <w:p>
            <w:pPr>
              <w:jc w:val="center"/>
              <w:rPr>
                <w:rFonts w:ascii="宋体" w:hAnsi="宋体" w:cs="宋体"/>
                <w:color w:val="000000"/>
                <w:sz w:val="20"/>
                <w:szCs w:val="20"/>
              </w:rPr>
            </w:pPr>
          </w:p>
        </w:tc>
        <w:tc>
          <w:tcPr>
            <w:tcW w:w="823" w:type="dxa"/>
            <w:noWrap/>
            <w:vAlign w:val="center"/>
          </w:tcPr>
          <w:p>
            <w:pPr>
              <w:jc w:val="center"/>
              <w:rPr>
                <w:rFonts w:ascii="宋体" w:hAnsi="宋体" w:cs="宋体"/>
                <w:color w:val="000000"/>
                <w:sz w:val="20"/>
                <w:szCs w:val="20"/>
              </w:rPr>
            </w:pPr>
          </w:p>
        </w:tc>
        <w:tc>
          <w:tcPr>
            <w:tcW w:w="1475" w:type="dxa"/>
            <w:noWrap/>
            <w:vAlign w:val="center"/>
          </w:tcPr>
          <w:p>
            <w:pPr>
              <w:jc w:val="center"/>
              <w:rPr>
                <w:rFonts w:ascii="宋体" w:hAnsi="宋体" w:cs="宋体"/>
                <w:color w:val="000000"/>
                <w:sz w:val="20"/>
                <w:szCs w:val="20"/>
              </w:rPr>
            </w:pPr>
          </w:p>
        </w:tc>
        <w:tc>
          <w:tcPr>
            <w:tcW w:w="2446" w:type="dxa"/>
            <w:gridSpan w:val="2"/>
            <w:noWrap/>
            <w:vAlign w:val="center"/>
          </w:tcPr>
          <w:p>
            <w:pPr>
              <w:jc w:val="center"/>
              <w:rPr>
                <w:rFonts w:ascii="宋体" w:hAnsi="宋体" w:cs="宋体"/>
                <w:color w:val="000000"/>
                <w:sz w:val="20"/>
                <w:szCs w:val="20"/>
              </w:rPr>
            </w:pPr>
          </w:p>
        </w:tc>
        <w:tc>
          <w:tcPr>
            <w:tcW w:w="1128" w:type="dxa"/>
            <w:gridSpan w:val="2"/>
            <w:noWrap/>
            <w:vAlign w:val="center"/>
          </w:tcPr>
          <w:p>
            <w:pPr>
              <w:jc w:val="center"/>
              <w:rPr>
                <w:rFonts w:ascii="宋体" w:hAnsi="宋体" w:cs="宋体"/>
                <w:color w:val="000000"/>
                <w:sz w:val="20"/>
                <w:szCs w:val="20"/>
              </w:rPr>
            </w:pPr>
          </w:p>
        </w:tc>
        <w:tc>
          <w:tcPr>
            <w:tcW w:w="1336" w:type="dxa"/>
            <w:gridSpan w:val="2"/>
            <w:noWrap/>
            <w:vAlign w:val="center"/>
          </w:tcPr>
          <w:p>
            <w:pPr>
              <w:jc w:val="center"/>
              <w:rPr>
                <w:rFonts w:ascii="宋体" w:hAnsi="宋体" w:cs="宋体"/>
                <w:color w:val="000000"/>
                <w:sz w:val="20"/>
                <w:szCs w:val="20"/>
              </w:rPr>
            </w:pPr>
          </w:p>
        </w:tc>
        <w:tc>
          <w:tcPr>
            <w:tcW w:w="627" w:type="dxa"/>
            <w:gridSpan w:val="2"/>
            <w:noWrap/>
            <w:vAlign w:val="center"/>
          </w:tcPr>
          <w:p>
            <w:pPr>
              <w:jc w:val="center"/>
              <w:rPr>
                <w:rFonts w:ascii="宋体" w:hAnsi="宋体" w:cs="宋体"/>
                <w:color w:val="000000"/>
                <w:sz w:val="20"/>
                <w:szCs w:val="20"/>
              </w:rPr>
            </w:pPr>
          </w:p>
        </w:tc>
        <w:tc>
          <w:tcPr>
            <w:tcW w:w="2100" w:type="dxa"/>
            <w:gridSpan w:val="3"/>
            <w:noWrap/>
            <w:vAlign w:val="center"/>
          </w:tcPr>
          <w:p>
            <w:pPr>
              <w:widowControl/>
              <w:jc w:val="center"/>
              <w:textAlignment w:val="center"/>
              <w:rPr>
                <w:rFonts w:ascii="宋体" w:hAnsi="宋体" w:cs="宋体"/>
                <w:color w:val="000000"/>
                <w:sz w:val="24"/>
              </w:rPr>
            </w:pPr>
          </w:p>
        </w:tc>
      </w:tr>
      <w:tr>
        <w:tblPrEx>
          <w:tblCellMar>
            <w:top w:w="15" w:type="dxa"/>
            <w:left w:w="15" w:type="dxa"/>
            <w:bottom w:w="15" w:type="dxa"/>
            <w:right w:w="15" w:type="dxa"/>
          </w:tblCellMar>
        </w:tblPrEx>
        <w:trPr>
          <w:trHeight w:val="249" w:hRule="atLeast"/>
          <w:jc w:val="center"/>
        </w:trPr>
        <w:tc>
          <w:tcPr>
            <w:tcW w:w="128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5049" w:type="dxa"/>
            <w:gridSpan w:val="5"/>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eastAsia="zh-CN"/>
              </w:rPr>
              <w:t>无</w:t>
            </w: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主管部门</w:t>
            </w:r>
          </w:p>
        </w:tc>
        <w:tc>
          <w:tcPr>
            <w:tcW w:w="2727" w:type="dxa"/>
            <w:gridSpan w:val="5"/>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516" w:hRule="atLeast"/>
          <w:jc w:val="center"/>
        </w:trPr>
        <w:tc>
          <w:tcPr>
            <w:tcW w:w="1288"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项目预算</w:t>
            </w:r>
            <w:r>
              <w:rPr>
                <w:rFonts w:hint="eastAsia" w:ascii="宋体" w:hAnsi="宋体" w:cs="宋体"/>
                <w:b/>
                <w:color w:val="000000"/>
                <w:kern w:val="0"/>
                <w:sz w:val="20"/>
                <w:szCs w:val="20"/>
              </w:rPr>
              <w:br w:type="textWrapping"/>
            </w:r>
            <w:r>
              <w:rPr>
                <w:rFonts w:hint="eastAsia" w:ascii="宋体" w:hAnsi="宋体" w:cs="宋体"/>
                <w:b/>
                <w:color w:val="000000"/>
                <w:kern w:val="0"/>
                <w:sz w:val="20"/>
                <w:szCs w:val="20"/>
              </w:rPr>
              <w:t>执行情况</w:t>
            </w:r>
            <w:r>
              <w:rPr>
                <w:rFonts w:hint="eastAsia" w:ascii="宋体" w:hAnsi="宋体" w:cs="宋体"/>
                <w:b/>
                <w:color w:val="000000"/>
                <w:kern w:val="0"/>
                <w:sz w:val="20"/>
                <w:szCs w:val="20"/>
              </w:rPr>
              <w:br w:type="textWrapping"/>
            </w:r>
            <w:r>
              <w:rPr>
                <w:rFonts w:hint="eastAsia" w:ascii="宋体" w:hAnsi="宋体" w:cs="宋体"/>
                <w:b/>
                <w:color w:val="000000"/>
                <w:kern w:val="0"/>
                <w:sz w:val="20"/>
                <w:szCs w:val="20"/>
              </w:rPr>
              <w:t>（10分）</w:t>
            </w: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单位万元</w:t>
            </w: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宋体" w:hAnsi="宋体" w:cs="宋体"/>
                <w:color w:val="000000"/>
                <w:sz w:val="20"/>
                <w:szCs w:val="20"/>
              </w:rPr>
            </w:pP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年初预算数</w:t>
            </w: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全年预算数</w:t>
            </w: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全年</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执行数</w:t>
            </w: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分值</w:t>
            </w: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执行率</w:t>
            </w: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得分</w:t>
            </w:r>
          </w:p>
        </w:tc>
      </w:tr>
      <w:tr>
        <w:tblPrEx>
          <w:tblCellMar>
            <w:top w:w="15" w:type="dxa"/>
            <w:left w:w="15" w:type="dxa"/>
            <w:bottom w:w="15" w:type="dxa"/>
            <w:right w:w="15" w:type="dxa"/>
          </w:tblCellMar>
        </w:tblPrEx>
        <w:trPr>
          <w:trHeight w:val="183"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年度资金总额</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default" w:ascii="宋体" w:hAnsi="宋体" w:eastAsia="宋体" w:cs="宋体"/>
                <w:color w:val="000000"/>
                <w:sz w:val="20"/>
                <w:szCs w:val="20"/>
                <w:lang w:val="en-US" w:eastAsia="zh-CN"/>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其中：当年财政拨款</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default" w:ascii="宋体" w:hAnsi="宋体" w:eastAsia="宋体" w:cs="宋体"/>
                <w:color w:val="000000"/>
                <w:sz w:val="20"/>
                <w:szCs w:val="20"/>
                <w:lang w:val="en-US" w:eastAsia="zh-CN"/>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上年结转资金</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其他资金</w:t>
            </w:r>
          </w:p>
        </w:tc>
        <w:tc>
          <w:tcPr>
            <w:tcW w:w="2127"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241" w:hRule="atLeast"/>
          <w:jc w:val="center"/>
        </w:trPr>
        <w:tc>
          <w:tcPr>
            <w:tcW w:w="128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年度总体目标</w:t>
            </w:r>
          </w:p>
        </w:tc>
        <w:tc>
          <w:tcPr>
            <w:tcW w:w="5049" w:type="dxa"/>
            <w:gridSpan w:val="5"/>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年初预期目标</w:t>
            </w:r>
          </w:p>
        </w:tc>
        <w:tc>
          <w:tcPr>
            <w:tcW w:w="4063" w:type="dxa"/>
            <w:gridSpan w:val="7"/>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目标实际完成情况</w:t>
            </w:r>
          </w:p>
        </w:tc>
      </w:tr>
      <w:tr>
        <w:tblPrEx>
          <w:tblCellMar>
            <w:top w:w="15" w:type="dxa"/>
            <w:left w:w="15" w:type="dxa"/>
            <w:bottom w:w="15" w:type="dxa"/>
            <w:right w:w="15" w:type="dxa"/>
          </w:tblCellMar>
        </w:tblPrEx>
        <w:trPr>
          <w:trHeight w:val="1476"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b/>
                <w:color w:val="000000"/>
                <w:sz w:val="20"/>
                <w:szCs w:val="20"/>
              </w:rPr>
            </w:pPr>
          </w:p>
        </w:tc>
        <w:tc>
          <w:tcPr>
            <w:tcW w:w="5049" w:type="dxa"/>
            <w:gridSpan w:val="5"/>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80" w:lineRule="exact"/>
              <w:jc w:val="left"/>
              <w:textAlignment w:val="center"/>
              <w:rPr>
                <w:rFonts w:ascii="宋体" w:hAnsi="宋体" w:cs="宋体"/>
                <w:color w:val="000000"/>
                <w:sz w:val="20"/>
                <w:szCs w:val="20"/>
              </w:rPr>
            </w:pPr>
          </w:p>
        </w:tc>
        <w:tc>
          <w:tcPr>
            <w:tcW w:w="4063" w:type="dxa"/>
            <w:gridSpan w:val="7"/>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80" w:lineRule="exact"/>
              <w:jc w:val="left"/>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86" w:hRule="atLeast"/>
          <w:jc w:val="center"/>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绩效指标</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一级指标</w:t>
            </w:r>
          </w:p>
        </w:tc>
        <w:tc>
          <w:tcPr>
            <w:tcW w:w="1475"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二级指标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三级指标</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年度指标值</w:t>
            </w: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实际完成指标值</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分值</w:t>
            </w: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得分</w:t>
            </w: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偏差原因分析及改进措施</w:t>
            </w:r>
          </w:p>
        </w:tc>
      </w:tr>
      <w:tr>
        <w:tblPrEx>
          <w:tblCellMar>
            <w:top w:w="15" w:type="dxa"/>
            <w:left w:w="15" w:type="dxa"/>
            <w:bottom w:w="15" w:type="dxa"/>
            <w:right w:w="15" w:type="dxa"/>
          </w:tblCellMar>
        </w:tblPrEx>
        <w:trPr>
          <w:trHeight w:val="188" w:hRule="atLeast"/>
          <w:jc w:val="center"/>
        </w:trPr>
        <w:tc>
          <w:tcPr>
            <w:tcW w:w="465" w:type="dxa"/>
            <w:vMerge w:val="restart"/>
            <w:tcBorders>
              <w:left w:val="single" w:color="000000" w:sz="4" w:space="0"/>
              <w:bottom w:val="single" w:color="000000" w:sz="4" w:space="0"/>
            </w:tcBorders>
            <w:shd w:val="clear" w:color="auto" w:fill="auto"/>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年度绩效指标</w:t>
            </w:r>
          </w:p>
        </w:tc>
        <w:tc>
          <w:tcPr>
            <w:tcW w:w="823" w:type="dxa"/>
            <w:vMerge w:val="restart"/>
            <w:tcBorders>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tc>
        <w:tc>
          <w:tcPr>
            <w:tcW w:w="1475" w:type="dxa"/>
            <w:vMerge w:val="restart"/>
            <w:tcBorders>
              <w:top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899"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64"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56"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648"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left w:val="single" w:color="000000" w:sz="4" w:space="0"/>
              <w:bottom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年度绩效指标</w:t>
            </w: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年度绩效指标</w:t>
            </w:r>
          </w:p>
          <w:p>
            <w:pPr>
              <w:widowControl/>
              <w:jc w:val="center"/>
              <w:textAlignment w:val="center"/>
              <w:rPr>
                <w:rFonts w:ascii="宋体" w:hAnsi="宋体" w:cs="宋体"/>
                <w:b/>
                <w:color w:val="000000"/>
                <w:sz w:val="20"/>
                <w:szCs w:val="20"/>
              </w:rPr>
            </w:pPr>
          </w:p>
        </w:tc>
        <w:tc>
          <w:tcPr>
            <w:tcW w:w="82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textAlignment w:val="center"/>
              <w:rPr>
                <w:rFonts w:ascii="宋体" w:hAnsi="宋体" w:cs="宋体"/>
                <w:color w:val="000000"/>
                <w:kern w:val="0"/>
                <w:sz w:val="20"/>
                <w:szCs w:val="20"/>
              </w:rPr>
            </w:pP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tc>
        <w:tc>
          <w:tcPr>
            <w:tcW w:w="1475" w:type="dxa"/>
            <w:vMerge w:val="restart"/>
            <w:tcBorders>
              <w:top w:val="single" w:color="auto" w:sz="4" w:space="0"/>
              <w:left w:val="single" w:color="auto" w:sz="4" w:space="0"/>
              <w:bottom w:val="single" w:color="auto" w:sz="4" w:space="0"/>
              <w:right w:val="single" w:color="auto" w:sz="4" w:space="0"/>
            </w:tcBorders>
            <w:shd w:val="clear" w:color="auto" w:fill="C7EDCC"/>
            <w:noWrap/>
            <w:vAlign w:val="center"/>
          </w:tcPr>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数量指标</w:t>
            </w: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2724" w:type="dxa"/>
            <w:gridSpan w:val="3"/>
            <w:tcBorders>
              <w:top w:val="single" w:color="auto"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80"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01"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47"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47"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5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5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7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7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4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2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26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60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18"/>
                <w:szCs w:val="18"/>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0"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1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1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sz w:val="20"/>
                <w:szCs w:val="20"/>
              </w:rPr>
            </w:pPr>
          </w:p>
        </w:tc>
        <w:tc>
          <w:tcPr>
            <w:tcW w:w="823" w:type="dxa"/>
            <w:vMerge w:val="restart"/>
            <w:tcBorders>
              <w:top w:val="single" w:color="auto"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效益指标（30分）</w:t>
            </w: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社会效益</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restart"/>
            <w:tcBorders>
              <w:top w:val="single" w:color="auto"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满意度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（10分）</w:t>
            </w: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84" w:hRule="atLeast"/>
          <w:jc w:val="center"/>
        </w:trPr>
        <w:tc>
          <w:tcPr>
            <w:tcW w:w="1288"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总分</w:t>
            </w:r>
          </w:p>
        </w:tc>
        <w:tc>
          <w:tcPr>
            <w:tcW w:w="9112" w:type="dxa"/>
            <w:gridSpan w:val="1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p>
        </w:tc>
      </w:tr>
    </w:tbl>
    <w:p>
      <w:pPr>
        <w:overflowPunct w:val="0"/>
        <w:adjustRightInd w:val="0"/>
        <w:snapToGrid w:val="0"/>
        <w:spacing w:line="580" w:lineRule="exact"/>
        <w:jc w:val="both"/>
        <w:outlineLvl w:val="0"/>
        <w:rPr>
          <w:rFonts w:hint="eastAsia" w:ascii="仿宋_GB2312" w:hAnsi="仿宋_GB2312" w:eastAsia="仿宋_GB2312" w:cs="仿宋_GB2312"/>
          <w:szCs w:val="32"/>
          <w:lang w:val="en-US" w:eastAsia="zh-CN"/>
        </w:rPr>
      </w:pPr>
      <w:r>
        <w:rPr>
          <w:rFonts w:hint="eastAsia" w:ascii="仿宋_GB2312" w:hAnsi="仿宋_GB2312" w:eastAsia="仿宋_GB2312" w:cs="仿宋_GB2312"/>
          <w:szCs w:val="32"/>
          <w:lang w:eastAsia="zh-CN"/>
        </w:rPr>
        <w:t>注：因我单位</w:t>
      </w:r>
      <w:r>
        <w:rPr>
          <w:rFonts w:hint="eastAsia" w:ascii="仿宋_GB2312" w:hAnsi="仿宋_GB2312" w:eastAsia="仿宋_GB2312" w:cs="仿宋_GB2312"/>
          <w:szCs w:val="32"/>
          <w:lang w:val="en-US" w:eastAsia="zh-CN"/>
        </w:rPr>
        <w:t>2019年无预算项目，故本表无数据。</w:t>
      </w: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20</w:t>
    </w:r>
    <w:r>
      <w:rPr>
        <w:rFonts w:ascii="宋体" w:hAnsi="宋体"/>
        <w:sz w:val="28"/>
        <w:szCs w:val="28"/>
      </w:rPr>
      <w:fldChar w:fldCharType="end"/>
    </w:r>
    <w:r>
      <w:rPr>
        <w:rFonts w:hint="eastAsia" w:ascii="宋体" w:hAnsi="宋体"/>
        <w:sz w:val="28"/>
        <w:szCs w:val="28"/>
      </w:rPr>
      <w:t xml:space="preserve"> —</w:t>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377A2"/>
    <w:rsid w:val="00165DDF"/>
    <w:rsid w:val="0017751F"/>
    <w:rsid w:val="002F408A"/>
    <w:rsid w:val="003051C2"/>
    <w:rsid w:val="00332E01"/>
    <w:rsid w:val="0049771E"/>
    <w:rsid w:val="00602B63"/>
    <w:rsid w:val="00637F0D"/>
    <w:rsid w:val="006C6D9F"/>
    <w:rsid w:val="007B6BE5"/>
    <w:rsid w:val="0082179D"/>
    <w:rsid w:val="00827E4B"/>
    <w:rsid w:val="00911FB8"/>
    <w:rsid w:val="00981E64"/>
    <w:rsid w:val="00A263B4"/>
    <w:rsid w:val="00B15D8F"/>
    <w:rsid w:val="00B25AAB"/>
    <w:rsid w:val="00BE5CA8"/>
    <w:rsid w:val="00C36218"/>
    <w:rsid w:val="010B710C"/>
    <w:rsid w:val="017A5F26"/>
    <w:rsid w:val="01BF5B05"/>
    <w:rsid w:val="0243512B"/>
    <w:rsid w:val="02D71A8B"/>
    <w:rsid w:val="03EF0078"/>
    <w:rsid w:val="053662F7"/>
    <w:rsid w:val="06220B11"/>
    <w:rsid w:val="07A7468E"/>
    <w:rsid w:val="07FE4D5B"/>
    <w:rsid w:val="0C1B4D8B"/>
    <w:rsid w:val="0E5739C3"/>
    <w:rsid w:val="11A05924"/>
    <w:rsid w:val="13EF3DB0"/>
    <w:rsid w:val="15EB6700"/>
    <w:rsid w:val="17CA379D"/>
    <w:rsid w:val="18720694"/>
    <w:rsid w:val="19170808"/>
    <w:rsid w:val="1A0C35D5"/>
    <w:rsid w:val="1DBA4E7D"/>
    <w:rsid w:val="1E040D63"/>
    <w:rsid w:val="1E0A625B"/>
    <w:rsid w:val="209C64F9"/>
    <w:rsid w:val="20CF4CA6"/>
    <w:rsid w:val="2272445B"/>
    <w:rsid w:val="22876C8E"/>
    <w:rsid w:val="22C377A2"/>
    <w:rsid w:val="232143F4"/>
    <w:rsid w:val="23EA2DBD"/>
    <w:rsid w:val="24E36A35"/>
    <w:rsid w:val="25597782"/>
    <w:rsid w:val="264A49DD"/>
    <w:rsid w:val="268217E7"/>
    <w:rsid w:val="29A91C1B"/>
    <w:rsid w:val="2BC3690C"/>
    <w:rsid w:val="2E5562D2"/>
    <w:rsid w:val="2EA14876"/>
    <w:rsid w:val="31002848"/>
    <w:rsid w:val="315557AF"/>
    <w:rsid w:val="32E40987"/>
    <w:rsid w:val="333F25AF"/>
    <w:rsid w:val="36FC4518"/>
    <w:rsid w:val="39D772D3"/>
    <w:rsid w:val="3A214CB4"/>
    <w:rsid w:val="3E105E6A"/>
    <w:rsid w:val="41007EE7"/>
    <w:rsid w:val="487B6DC7"/>
    <w:rsid w:val="4A1C0F1C"/>
    <w:rsid w:val="4B0B26E3"/>
    <w:rsid w:val="4E20645E"/>
    <w:rsid w:val="4E8A0215"/>
    <w:rsid w:val="54B17114"/>
    <w:rsid w:val="56214151"/>
    <w:rsid w:val="567A351A"/>
    <w:rsid w:val="57613E4F"/>
    <w:rsid w:val="57A91E59"/>
    <w:rsid w:val="5CF624BD"/>
    <w:rsid w:val="5D6F2E87"/>
    <w:rsid w:val="61660D05"/>
    <w:rsid w:val="62520CCA"/>
    <w:rsid w:val="633561CB"/>
    <w:rsid w:val="653E58DE"/>
    <w:rsid w:val="69F0211D"/>
    <w:rsid w:val="6C661118"/>
    <w:rsid w:val="6C8E5C0B"/>
    <w:rsid w:val="6CFE7C4A"/>
    <w:rsid w:val="6E905DFF"/>
    <w:rsid w:val="6F870DB8"/>
    <w:rsid w:val="70954296"/>
    <w:rsid w:val="71EA2D8C"/>
    <w:rsid w:val="74BE20AF"/>
    <w:rsid w:val="760B29C0"/>
    <w:rsid w:val="7967134C"/>
    <w:rsid w:val="79EE022C"/>
    <w:rsid w:val="7AE811FD"/>
    <w:rsid w:val="7C9A0497"/>
    <w:rsid w:val="7DA0703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p0"/>
    <w:basedOn w:val="1"/>
    <w:qFormat/>
    <w:uiPriority w:val="0"/>
    <w:pPr>
      <w:widowControl/>
    </w:pPr>
    <w:rPr>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2.emf"/><Relationship Id="rId8" Type="http://schemas.openxmlformats.org/officeDocument/2006/relationships/oleObject" Target="embeddings/oleObject2.bin"/><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6.emf"/><Relationship Id="rId16" Type="http://schemas.openxmlformats.org/officeDocument/2006/relationships/oleObject" Target="embeddings/oleObject6.bin"/><Relationship Id="rId15" Type="http://schemas.openxmlformats.org/officeDocument/2006/relationships/image" Target="media/image5.emf"/><Relationship Id="rId14" Type="http://schemas.openxmlformats.org/officeDocument/2006/relationships/oleObject" Target="embeddings/oleObject5.bin"/><Relationship Id="rId13" Type="http://schemas.openxmlformats.org/officeDocument/2006/relationships/image" Target="media/image4.emf"/><Relationship Id="rId12" Type="http://schemas.openxmlformats.org/officeDocument/2006/relationships/oleObject" Target="embeddings/oleObject4.bin"/><Relationship Id="rId11" Type="http://schemas.openxmlformats.org/officeDocument/2006/relationships/image" Target="media/image3.emf"/><Relationship Id="rId10" Type="http://schemas.openxmlformats.org/officeDocument/2006/relationships/oleObject" Target="embeddings/oleObject3.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50"/>
    <customShpInfo spid="_x0000_s2051"/>
    <customShpInfo spid="_x0000_s2052"/>
    <customShpInfo spid="_x0000_s2053"/>
    <customShpInfo spid="_x0000_s2054"/>
    <customShpInfo spid="_x0000_s205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41</Pages>
  <Words>2564</Words>
  <Characters>14615</Characters>
  <Lines>121</Lines>
  <Paragraphs>34</Paragraphs>
  <TotalTime>1</TotalTime>
  <ScaleCrop>false</ScaleCrop>
  <LinksUpToDate>false</LinksUpToDate>
  <CharactersWithSpaces>17145</CharactersWithSpaces>
  <Application>WPS Office_11.1.0.10000_F1E327BC-269C-435d-A152-05C5408002CA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2020-09-04T06:15:00Z</dcterms:created>
  <dc:creator>王丽靖</dc:creator>
  <cp:lastModifiedBy>种草的兔叽</cp:lastModifiedBy>
  <cp:lastPrinted>2020-09-04T06:03:00Z</cp:lastPrinted>
  <dcterms:modified xsi:type="dcterms:W3CDTF">2021-03-31T01:59:44Z</dcterms:modified>
  <dc:title>2019年度</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2052-11.1.0.10000</vt:lpwstr>
  </property>
  <property fmtid="{D5CDD505-2E9C-101B-9397-08002B2CF9AE}" pid="3" name="ICV">
    <vt:lpwstr>418BF7EEFCAD4D97A6C1CC6DF53D9B80</vt:lpwstr>
  </property>
</Properties>
</file>