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政府信息公开工作情况统计表</w:t>
      </w:r>
    </w:p>
    <w:p>
      <w:pPr>
        <w:jc w:val="center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>（201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8</w:t>
      </w:r>
      <w:r>
        <w:rPr>
          <w:rFonts w:ascii="Times New Roman" w:hAnsi="Times New Roman" w:eastAsia="楷体_GB2312" w:cs="Times New Roman"/>
          <w:sz w:val="28"/>
          <w:szCs w:val="28"/>
        </w:rPr>
        <w:t>年度）</w:t>
      </w:r>
    </w:p>
    <w:p>
      <w:pPr>
        <w:jc w:val="left"/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</w:pPr>
      <w:r>
        <w:rPr>
          <w:rFonts w:ascii="Times New Roman" w:hAnsi="Times New Roman" w:eastAsia="楷体_GB2312" w:cs="Times New Roman"/>
          <w:sz w:val="28"/>
          <w:szCs w:val="28"/>
        </w:rPr>
        <w:t>单位名称：</w:t>
      </w:r>
      <w:r>
        <w:rPr>
          <w:rFonts w:hint="eastAsia" w:ascii="Times New Roman" w:hAnsi="Times New Roman" w:eastAsia="楷体_GB2312" w:cs="Times New Roman"/>
          <w:sz w:val="28"/>
          <w:szCs w:val="28"/>
          <w:lang w:eastAsia="zh-CN"/>
        </w:rPr>
        <w:t>文登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区</w:t>
      </w:r>
      <w:r>
        <w:rPr>
          <w:rFonts w:hint="eastAsia" w:ascii="Times New Roman" w:hAnsi="Times New Roman" w:eastAsia="楷体_GB2312" w:cs="Times New Roman"/>
          <w:sz w:val="28"/>
          <w:szCs w:val="28"/>
          <w:lang w:eastAsia="zh-CN"/>
        </w:rPr>
        <w:t>食品药品监督管理局</w:t>
      </w:r>
    </w:p>
    <w:tbl>
      <w:tblPr>
        <w:tblStyle w:val="2"/>
        <w:tblW w:w="8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6"/>
        <w:gridCol w:w="1023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416" w:type="dxa"/>
            <w:noWrap w:val="0"/>
            <w:vAlign w:val="center"/>
          </w:tcPr>
          <w:p>
            <w:pPr>
              <w:widowControl/>
              <w:spacing w:line="300" w:lineRule="exact"/>
              <w:ind w:firstLine="685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统　计　指　标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单位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统计数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一、主动公开情况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（一）主动公开政府信息数（不同渠道和方式公开相同信息计1条）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334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其中：主动公开规范性文件数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制发规范性文件总数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二、回应解读情况（不同方式回应同一热点或舆情计1次）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widowControl/>
              <w:spacing w:line="300" w:lineRule="exact"/>
              <w:ind w:firstLine="400" w:firstLineChars="20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（一）回应公众关注热点或重大舆情数（不同方式回应同一热点或舆情计1次）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其中：主要负责同志参加新闻发布会次数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其中：主要负责同志参加政府网站在线访谈次数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三、依申请公开情况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5.其他形式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其中：涉及国家秘密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涉及商业秘密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涉及个人隐私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危及国家安全、公共安全、经济安全和社会稳定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不是《条例》所指政府信息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法律法规规定的其他情形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四、行政复议数量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五、行政诉讼数量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六、被举报投诉数量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七、向图书馆、档案馆等查阅场所报送信息数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（一）纸质文件数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（二）电子文件数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（一）市政府及其部门门户网站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九、政府公报发行量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十、设置政府信息查阅点数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十一、查阅点接待人数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十二、依申请公开信息收取的费用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十三、机构建设和保障经费情况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十四、政府信息公开会议和培训情况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</w:tbl>
    <w:p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（注：各子栏目数总数要等于总栏目数量）</w:t>
      </w:r>
    </w:p>
    <w:p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34D1B"/>
    <w:rsid w:val="178A2CA3"/>
    <w:rsid w:val="2A870DFA"/>
    <w:rsid w:val="3A510AA4"/>
    <w:rsid w:val="47361742"/>
    <w:rsid w:val="7013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2021-10-11T01:05:00Z</dcterms:created>
  <dc:creator>Administrator</dc:creator>
  <cp:lastModifiedBy>Administrator</cp:lastModifiedBy>
  <dcterms:modified xsi:type="dcterms:W3CDTF">2021-10-11T02:35:08Z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EC7BAA18EED7448980F3A4715926E443</vt:lpwstr>
  </property>
</Properties>
</file>