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威海市文登区</w:t>
      </w:r>
      <w:r>
        <w:rPr>
          <w:rFonts w:hint="eastAsia" w:ascii="方正小标宋简体" w:hAnsi="方正小标宋简体" w:eastAsia="方正小标宋简体" w:cs="方正小标宋简体"/>
          <w:color w:val="000000"/>
          <w:sz w:val="44"/>
          <w:szCs w:val="44"/>
        </w:rPr>
        <w:t>审计局</w:t>
      </w:r>
    </w:p>
    <w:p>
      <w:pPr>
        <w:keepNext w:val="0"/>
        <w:keepLines w:val="0"/>
        <w:pageBreakBefore w:val="0"/>
        <w:widowControl/>
        <w:kinsoku/>
        <w:wordWrap/>
        <w:overflowPunct/>
        <w:topLinePunct w:val="0"/>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kern w:val="0"/>
          <w:sz w:val="44"/>
          <w:szCs w:val="44"/>
          <w:lang w:eastAsia="zh-CN"/>
        </w:rPr>
      </w:pPr>
      <w:r>
        <w:rPr>
          <w:rFonts w:hint="eastAsia" w:ascii="方正小标宋简体" w:hAnsi="方正小标宋简体" w:eastAsia="方正小标宋简体" w:cs="方正小标宋简体"/>
          <w:color w:val="000000"/>
          <w:sz w:val="44"/>
          <w:szCs w:val="44"/>
        </w:rPr>
        <w:t>201</w:t>
      </w:r>
      <w:r>
        <w:rPr>
          <w:rFonts w:hint="eastAsia" w:ascii="方正小标宋简体" w:hAnsi="方正小标宋简体" w:eastAsia="方正小标宋简体" w:cs="方正小标宋简体"/>
          <w:color w:val="000000"/>
          <w:sz w:val="44"/>
          <w:szCs w:val="44"/>
          <w:lang w:val="en-US" w:eastAsia="zh-CN"/>
        </w:rPr>
        <w:t>8</w:t>
      </w:r>
      <w:r>
        <w:rPr>
          <w:rFonts w:hint="eastAsia" w:ascii="方正小标宋简体" w:hAnsi="方正小标宋简体" w:eastAsia="方正小标宋简体" w:cs="方正小标宋简体"/>
          <w:color w:val="000000"/>
          <w:sz w:val="44"/>
          <w:szCs w:val="44"/>
        </w:rPr>
        <w:t>年度政府信息公开工作报告</w:t>
      </w:r>
    </w:p>
    <w:p>
      <w:pPr>
        <w:keepNext w:val="0"/>
        <w:keepLines w:val="0"/>
        <w:pageBreakBefore w:val="0"/>
        <w:widowControl/>
        <w:kinsoku/>
        <w:wordWrap/>
        <w:overflowPunct/>
        <w:topLinePunct w:val="0"/>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color w:val="000000"/>
          <w:sz w:val="32"/>
          <w:szCs w:val="32"/>
        </w:rPr>
        <w:t xml:space="preserve">    </w:t>
      </w:r>
    </w:p>
    <w:p>
      <w:pPr>
        <w:keepNext w:val="0"/>
        <w:keepLines w:val="0"/>
        <w:pageBreakBefore w:val="0"/>
        <w:widowControl w:val="0"/>
        <w:kinsoku/>
        <w:wordWrap/>
        <w:overflowPunct/>
        <w:topLinePunct w:val="0"/>
        <w:autoSpaceDE w:val="0"/>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根据《中华人民共和国政府信息公开条例》</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《山东省政府信息公开办法》</w:t>
      </w:r>
      <w:r>
        <w:rPr>
          <w:rFonts w:hint="eastAsia" w:ascii="仿宋_GB2312" w:hAnsi="仿宋_GB2312" w:eastAsia="仿宋_GB2312" w:cs="仿宋_GB2312"/>
          <w:color w:val="000000"/>
          <w:sz w:val="32"/>
          <w:szCs w:val="32"/>
          <w:lang w:eastAsia="zh-CN"/>
        </w:rPr>
        <w:t>和《威海市文登区人民政府办公室关于进一步做好政务公开工作的通知》要求，</w:t>
      </w:r>
      <w:r>
        <w:rPr>
          <w:rFonts w:hint="eastAsia" w:ascii="仿宋_GB2312" w:hAnsi="仿宋_GB2312" w:eastAsia="仿宋_GB2312" w:cs="仿宋_GB2312"/>
          <w:color w:val="000000"/>
          <w:sz w:val="32"/>
          <w:szCs w:val="32"/>
        </w:rPr>
        <w:t>文登区审计局</w:t>
      </w:r>
      <w:r>
        <w:rPr>
          <w:rFonts w:hint="eastAsia" w:ascii="仿宋_GB2312" w:hAnsi="仿宋_GB2312" w:eastAsia="仿宋_GB2312" w:cs="仿宋_GB2312"/>
          <w:color w:val="000000"/>
          <w:sz w:val="32"/>
          <w:szCs w:val="32"/>
          <w:lang w:eastAsia="zh-CN"/>
        </w:rPr>
        <w:t>认真落实政务公开相关工作，现将</w:t>
      </w:r>
      <w:r>
        <w:rPr>
          <w:rFonts w:hint="eastAsia" w:ascii="仿宋_GB2312" w:hAnsi="仿宋_GB2312" w:eastAsia="仿宋_GB2312" w:cs="仿宋_GB2312"/>
          <w:color w:val="000000"/>
          <w:sz w:val="32"/>
          <w:szCs w:val="32"/>
        </w:rPr>
        <w:t>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年度</w:t>
      </w:r>
      <w:r>
        <w:rPr>
          <w:rFonts w:hint="eastAsia" w:ascii="仿宋_GB2312" w:hAnsi="仿宋_GB2312" w:eastAsia="仿宋_GB2312" w:cs="仿宋_GB2312"/>
          <w:color w:val="000000"/>
          <w:sz w:val="32"/>
          <w:szCs w:val="32"/>
          <w:lang w:eastAsia="zh-CN"/>
        </w:rPr>
        <w:t>政务</w:t>
      </w:r>
      <w:r>
        <w:rPr>
          <w:rFonts w:hint="eastAsia" w:ascii="仿宋_GB2312" w:hAnsi="仿宋_GB2312" w:eastAsia="仿宋_GB2312" w:cs="仿宋_GB2312"/>
          <w:color w:val="000000"/>
          <w:sz w:val="32"/>
          <w:szCs w:val="32"/>
        </w:rPr>
        <w:t>公开工作</w:t>
      </w:r>
      <w:r>
        <w:rPr>
          <w:rFonts w:hint="eastAsia" w:ascii="仿宋_GB2312" w:hAnsi="仿宋_GB2312" w:eastAsia="仿宋_GB2312" w:cs="仿宋_GB2312"/>
          <w:color w:val="000000"/>
          <w:sz w:val="32"/>
          <w:szCs w:val="32"/>
          <w:lang w:eastAsia="zh-CN"/>
        </w:rPr>
        <w:t>落实情况汇报如下</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本报告中所列数据的统计时限自2018年1月1日起至2018年12月31日止。本报告的电子版可在文登区人民政府门户网站“中国·文登”网(</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"http://cms.weihai.gov.cn/art/2019/1/25/art_70624_2070157.html" \t "_self"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 信息公开专栏查阅。如对本报告有疑问，请与文登区审计局办公室联系（地址：文登区环山路88号，邮编：264400，电话：0631—8252882，传真：0631-8258561）。</w:t>
      </w:r>
    </w:p>
    <w:p>
      <w:pPr>
        <w:keepNext w:val="0"/>
        <w:keepLines w:val="0"/>
        <w:pageBreakBefore w:val="0"/>
        <w:widowControl w:val="0"/>
        <w:numPr>
          <w:ilvl w:val="0"/>
          <w:numId w:val="1"/>
        </w:numPr>
        <w:kinsoku/>
        <w:wordWrap/>
        <w:overflowPunct/>
        <w:topLinePunct w:val="0"/>
        <w:autoSpaceDE w:val="0"/>
        <w:autoSpaceDN/>
        <w:bidi w:val="0"/>
        <w:adjustRightInd/>
        <w:snapToGrid/>
        <w:spacing w:line="560" w:lineRule="exact"/>
        <w:ind w:left="0" w:leftChars="0" w:right="0" w:rightChars="0" w:firstLine="643" w:firstLineChars="200"/>
        <w:jc w:val="both"/>
        <w:textAlignment w:val="auto"/>
        <w:outlineLvl w:val="9"/>
        <w:rPr>
          <w:rFonts w:hint="eastAsia" w:ascii="仿宋_GB2312" w:hAnsi="仿宋_GB2312" w:eastAsia="仿宋_GB2312" w:cs="仿宋_GB2312"/>
          <w:color w:val="000000"/>
          <w:sz w:val="32"/>
          <w:szCs w:val="32"/>
        </w:rPr>
      </w:pPr>
      <w:r>
        <w:rPr>
          <w:rFonts w:hint="eastAsia" w:ascii="黑体" w:hAnsi="黑体" w:eastAsia="黑体" w:cs="黑体"/>
          <w:b/>
          <w:bCs/>
          <w:color w:val="000000"/>
          <w:kern w:val="0"/>
          <w:sz w:val="32"/>
          <w:szCs w:val="32"/>
        </w:rPr>
        <w:t>概述</w:t>
      </w:r>
      <w:r>
        <w:rPr>
          <w:rFonts w:hint="eastAsia" w:ascii="黑体" w:hAnsi="黑体" w:eastAsia="黑体" w:cs="黑体"/>
          <w:b/>
          <w:bCs/>
          <w:color w:val="000000"/>
          <w:kern w:val="0"/>
          <w:sz w:val="32"/>
          <w:szCs w:val="32"/>
        </w:rPr>
        <w:br w:type="textWrapping"/>
      </w:r>
      <w:r>
        <w:rPr>
          <w:rFonts w:hint="eastAsia" w:ascii="仿宋_GB2312" w:hAnsi="仿宋_GB2312" w:eastAsia="仿宋_GB2312" w:cs="仿宋_GB2312"/>
          <w:color w:val="000000"/>
          <w:sz w:val="32"/>
          <w:szCs w:val="32"/>
          <w:lang w:val="en-US" w:eastAsia="zh-CN"/>
        </w:rPr>
        <w:t xml:space="preserve">    2018年，我局认真贯彻落实中央及地方各级政府关于政务公开工作的规定要求，紧密结合审计工作实际，从公开渠道、信息内容、制度建设等方面积极探索和实践，较好地完成了工作任务。</w:t>
      </w:r>
      <w:r>
        <w:rPr>
          <w:rFonts w:hint="eastAsia" w:ascii="仿宋_GB2312" w:hAnsi="仿宋_GB2312" w:eastAsia="仿宋_GB2312" w:cs="仿宋_GB2312"/>
          <w:color w:val="000000"/>
          <w:sz w:val="32"/>
          <w:szCs w:val="32"/>
        </w:rPr>
        <w:t>在政府信息公开渠道拓展上，依托互联网，建立和完善了信息发布与政务公开一体的服务平台；在政府信息公开方面，主动公开与群众咨询公开相结合，不断强化信息公开的全面性，着力提高审计机关行政透明度和办事效率，服务群众需要；在制度建设上，继续完善各种制度规章，依法、按时公开各种政府信息，促进政府机关依法行政，全面接受社会监督。</w:t>
      </w:r>
      <w:r>
        <w:rPr>
          <w:rFonts w:hint="eastAsia" w:ascii="仿宋_GB2312" w:hAnsi="仿宋_GB2312" w:eastAsia="仿宋_GB2312" w:cs="仿宋_GB2312"/>
          <w:color w:val="000000"/>
          <w:sz w:val="32"/>
          <w:szCs w:val="32"/>
          <w:lang w:eastAsia="zh-CN"/>
        </w:rPr>
        <w:t>截至目前</w:t>
      </w:r>
      <w:r>
        <w:rPr>
          <w:rFonts w:hint="eastAsia" w:ascii="仿宋_GB2312" w:hAnsi="仿宋_GB2312" w:eastAsia="仿宋_GB2312" w:cs="仿宋_GB2312"/>
          <w:color w:val="000000"/>
          <w:sz w:val="32"/>
          <w:szCs w:val="32"/>
        </w:rPr>
        <w:t>，通过“中国·文登”网政府信息公开专栏和审计局模块以及新闻媒体等多种形式，发布各类法律法规、办事指南等服务信息</w:t>
      </w:r>
      <w:r>
        <w:rPr>
          <w:rFonts w:hint="eastAsia" w:ascii="仿宋_GB2312" w:hAnsi="仿宋_GB2312" w:eastAsia="仿宋_GB2312" w:cs="仿宋_GB2312"/>
          <w:color w:val="000000"/>
          <w:sz w:val="32"/>
          <w:szCs w:val="32"/>
          <w:lang w:val="en-US" w:eastAsia="zh-CN"/>
        </w:rPr>
        <w:t>80</w:t>
      </w:r>
      <w:r>
        <w:rPr>
          <w:rFonts w:hint="eastAsia" w:ascii="仿宋_GB2312" w:hAnsi="仿宋_GB2312" w:eastAsia="仿宋_GB2312" w:cs="仿宋_GB2312"/>
          <w:color w:val="000000"/>
          <w:sz w:val="32"/>
          <w:szCs w:val="32"/>
          <w:lang w:eastAsia="zh-CN"/>
        </w:rPr>
        <w:t>多</w:t>
      </w:r>
      <w:r>
        <w:rPr>
          <w:rFonts w:hint="eastAsia" w:ascii="仿宋_GB2312" w:hAnsi="仿宋_GB2312" w:eastAsia="仿宋_GB2312" w:cs="仿宋_GB2312"/>
          <w:color w:val="000000"/>
          <w:sz w:val="32"/>
          <w:szCs w:val="32"/>
        </w:rPr>
        <w:t>条，为公众提供了比较好的政府信息公开服务。</w:t>
      </w:r>
    </w:p>
    <w:p>
      <w:pPr>
        <w:keepNext w:val="0"/>
        <w:keepLines w:val="0"/>
        <w:pageBreakBefore w:val="0"/>
        <w:kinsoku/>
        <w:wordWrap/>
        <w:overflowPunct/>
        <w:topLinePunct w:val="0"/>
        <w:autoSpaceDE w:val="0"/>
        <w:autoSpaceDN/>
        <w:bidi w:val="0"/>
        <w:adjustRightInd/>
        <w:snapToGrid/>
        <w:spacing w:line="560" w:lineRule="exact"/>
        <w:ind w:left="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drawing>
          <wp:anchor distT="0" distB="0" distL="114300" distR="114300" simplePos="0" relativeHeight="251658240" behindDoc="0" locked="0" layoutInCell="1" allowOverlap="1">
            <wp:simplePos x="0" y="0"/>
            <wp:positionH relativeFrom="column">
              <wp:posOffset>406400</wp:posOffset>
            </wp:positionH>
            <wp:positionV relativeFrom="paragraph">
              <wp:posOffset>-3220720</wp:posOffset>
            </wp:positionV>
            <wp:extent cx="5269230" cy="3491230"/>
            <wp:effectExtent l="0" t="0" r="7620" b="1397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69230" cy="3491230"/>
                    </a:xfrm>
                    <a:prstGeom prst="rect">
                      <a:avLst/>
                    </a:prstGeom>
                    <a:noFill/>
                    <a:ln w="9525">
                      <a:noFill/>
                    </a:ln>
                  </pic:spPr>
                </pic:pic>
              </a:graphicData>
            </a:graphic>
          </wp:anchor>
        </w:drawing>
      </w:r>
      <w:r>
        <w:rPr>
          <w:rFonts w:hint="eastAsia" w:ascii="仿宋_GB2312" w:hAnsi="仿宋_GB2312" w:eastAsia="仿宋_GB2312" w:cs="仿宋_GB2312"/>
          <w:color w:val="000000"/>
          <w:sz w:val="32"/>
          <w:szCs w:val="32"/>
        </w:rPr>
        <w:br w:type="textWrapping"/>
      </w:r>
      <w:r>
        <w:rPr>
          <w:rFonts w:hint="eastAsia" w:ascii="黑体" w:hAnsi="黑体" w:eastAsia="黑体" w:cs="黑体"/>
          <w:b/>
          <w:bCs/>
          <w:color w:val="000000"/>
          <w:kern w:val="0"/>
          <w:sz w:val="32"/>
          <w:szCs w:val="32"/>
          <w:lang w:val="en-US" w:eastAsia="zh-CN"/>
        </w:rPr>
        <w:t xml:space="preserve">    </w:t>
      </w:r>
      <w:r>
        <w:rPr>
          <w:rFonts w:hint="eastAsia" w:ascii="黑体" w:hAnsi="黑体" w:eastAsia="黑体" w:cs="黑体"/>
          <w:b/>
          <w:bCs/>
          <w:color w:val="000000"/>
          <w:kern w:val="0"/>
          <w:sz w:val="32"/>
          <w:szCs w:val="32"/>
        </w:rPr>
        <w:t>二、政府信息公开组织领导和制度建设情况</w:t>
      </w:r>
      <w:r>
        <w:rPr>
          <w:rFonts w:hint="eastAsia" w:ascii="黑体" w:hAnsi="黑体" w:eastAsia="黑体" w:cs="黑体"/>
          <w:b/>
          <w:bCs/>
          <w:color w:val="000000"/>
          <w:kern w:val="0"/>
          <w:sz w:val="32"/>
          <w:szCs w:val="32"/>
        </w:rPr>
        <w:br w:type="textWrapping"/>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rPr>
        <w:t>（一）进一步完善了领导体系。根据局党组领导班子人员变化情况，及时调整充实了文登区审计局信息公开工作领导小组成员，确保组织健全；配齐各种办公设备，安排</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名兼职人员负责政府信息公开工作。</w:t>
      </w:r>
      <w:r>
        <w:rPr>
          <w:rFonts w:hint="eastAsia" w:ascii="仿宋_GB2312" w:hAnsi="仿宋_GB2312" w:eastAsia="仿宋_GB2312" w:cs="仿宋_GB2312"/>
          <w:color w:val="000000"/>
          <w:sz w:val="32"/>
          <w:szCs w:val="32"/>
        </w:rPr>
        <w:br w:type="textWrapping"/>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（二）规范各种规章制度。编制了201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度政府信息公开工作方案和工作计划；根据工作开展情况，重新制定了《关于推进信息公开工作的实施意见》，规范了《文登区审计局政府信息发布审核制度》和《文登区审计局政府信息公开工作责任追究制度》，在信息公开发布环节实行三级审核，细化了信息公开工作，明确了职责分工。</w:t>
      </w:r>
      <w:r>
        <w:rPr>
          <w:rFonts w:hint="eastAsia" w:ascii="仿宋_GB2312" w:hAnsi="仿宋_GB2312" w:eastAsia="仿宋_GB2312" w:cs="仿宋_GB2312"/>
          <w:color w:val="000000"/>
          <w:sz w:val="32"/>
          <w:szCs w:val="32"/>
        </w:rPr>
        <w:br w:type="textWrapping"/>
      </w:r>
      <w:r>
        <w:rPr>
          <w:rFonts w:hint="eastAsia" w:ascii="黑体" w:hAnsi="黑体" w:eastAsia="黑体" w:cs="黑体"/>
          <w:color w:val="000000"/>
          <w:sz w:val="32"/>
          <w:szCs w:val="32"/>
          <w:lang w:val="en-US" w:eastAsia="zh-CN"/>
        </w:rPr>
        <w:t xml:space="preserve">    </w:t>
      </w:r>
      <w:r>
        <w:rPr>
          <w:rFonts w:hint="eastAsia" w:ascii="黑体" w:hAnsi="黑体" w:eastAsia="黑体" w:cs="黑体"/>
          <w:b/>
          <w:bCs/>
          <w:color w:val="000000"/>
          <w:sz w:val="32"/>
          <w:szCs w:val="32"/>
        </w:rPr>
        <w:t>三、主动公开政府信息情况以及公开平台建设情况</w:t>
      </w:r>
      <w:r>
        <w:rPr>
          <w:rFonts w:hint="eastAsia" w:ascii="黑体" w:hAnsi="黑体" w:eastAsia="黑体" w:cs="黑体"/>
          <w:b/>
          <w:bCs/>
          <w:color w:val="000000"/>
          <w:sz w:val="32"/>
          <w:szCs w:val="32"/>
        </w:rPr>
        <w:br w:type="textWrapping"/>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rPr>
        <w:t>（一）加大了主动公开政府信息工作力度。201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年，文登区审计局共主动公开政府信息</w:t>
      </w:r>
      <w:r>
        <w:rPr>
          <w:rFonts w:hint="eastAsia" w:ascii="仿宋_GB2312" w:hAnsi="仿宋_GB2312" w:eastAsia="仿宋_GB2312" w:cs="仿宋_GB2312"/>
          <w:color w:val="000000"/>
          <w:sz w:val="32"/>
          <w:szCs w:val="32"/>
          <w:lang w:val="en-US" w:eastAsia="zh-CN"/>
        </w:rPr>
        <w:t>80多</w:t>
      </w:r>
      <w:r>
        <w:rPr>
          <w:rFonts w:hint="eastAsia" w:ascii="仿宋_GB2312" w:hAnsi="仿宋_GB2312" w:eastAsia="仿宋_GB2312" w:cs="仿宋_GB2312"/>
          <w:color w:val="000000"/>
          <w:sz w:val="32"/>
          <w:szCs w:val="32"/>
        </w:rPr>
        <w:t>条。</w:t>
      </w:r>
    </w:p>
    <w:p>
      <w:pPr>
        <w:keepNext w:val="0"/>
        <w:keepLines w:val="0"/>
        <w:pageBreakBefore w:val="0"/>
        <w:numPr>
          <w:ilvl w:val="0"/>
          <w:numId w:val="2"/>
        </w:numPr>
        <w:kinsoku/>
        <w:wordWrap/>
        <w:overflowPunct/>
        <w:topLinePunct w:val="0"/>
        <w:autoSpaceDE w:val="0"/>
        <w:autoSpaceDN/>
        <w:bidi w:val="0"/>
        <w:adjustRightInd/>
        <w:snapToGrid/>
        <w:spacing w:line="560" w:lineRule="exact"/>
        <w:ind w:left="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坚持实施审计结果公告制度。根据审计署发布《审计机关公布审计结果准则》和《审计署审计结果公告试行办法》文件规定，201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年通过“中国·文登”政府网站信息公开平台和文登区审计局网站等渠道，向社会发布政府预算执行审计结果公告</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篇，为公众了解年度预算执行情况提供了比较好的政府信息公开服务。</w:t>
      </w:r>
    </w:p>
    <w:p>
      <w:pPr>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eastAsia="zh-CN"/>
        </w:rPr>
        <w:drawing>
          <wp:anchor distT="0" distB="0" distL="114300" distR="114300" simplePos="0" relativeHeight="251659264" behindDoc="0" locked="0" layoutInCell="1" allowOverlap="1">
            <wp:simplePos x="0" y="0"/>
            <wp:positionH relativeFrom="column">
              <wp:posOffset>104775</wp:posOffset>
            </wp:positionH>
            <wp:positionV relativeFrom="paragraph">
              <wp:posOffset>15875</wp:posOffset>
            </wp:positionV>
            <wp:extent cx="5610860" cy="1181100"/>
            <wp:effectExtent l="0" t="0" r="8890" b="0"/>
            <wp:wrapTopAndBottom/>
            <wp:docPr id="3" name="图片 3"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1"/>
                    <pic:cNvPicPr>
                      <a:picLocks noChangeAspect="1"/>
                    </pic:cNvPicPr>
                  </pic:nvPicPr>
                  <pic:blipFill>
                    <a:blip r:embed="rId5"/>
                    <a:stretch>
                      <a:fillRect/>
                    </a:stretch>
                  </pic:blipFill>
                  <pic:spPr>
                    <a:xfrm>
                      <a:off x="0" y="0"/>
                      <a:ext cx="5610860" cy="1181100"/>
                    </a:xfrm>
                    <a:prstGeom prst="rect">
                      <a:avLst/>
                    </a:prstGeom>
                  </pic:spPr>
                </pic:pic>
              </a:graphicData>
            </a:graphic>
          </wp:anchor>
        </w:drawing>
      </w:r>
      <w:r>
        <w:rPr>
          <w:rFonts w:hint="eastAsia" w:ascii="仿宋_GB2312" w:hAnsi="仿宋_GB2312" w:eastAsia="仿宋_GB2312" w:cs="仿宋_GB2312"/>
          <w:color w:val="000000"/>
          <w:sz w:val="32"/>
          <w:szCs w:val="32"/>
        </w:rPr>
        <w:br w:type="textWrapping"/>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三）严格执行经济责任审前公示制度。根据中央两办《党政主要领导干部和国有企业领导人员经济责任审计规定》中“应当进行审计公示”的要求，我局多年来严格执行经济责任审计审前公示制度，要求每一经济责任审计项目组于审计通知书送达时在被审计单位显著位置进行审计公示，向被审计单位职工介绍本次审计的范围、内容、审计人员、审计实施时间、审计组承诺、举报电话意见和建议等内容，广泛接受被审计单位广大群众的严格监督，树立优质服务、廉洁高效的审计形象，确保客观公正、依法审计，提高审计工作的透明度和社会监督力度。</w:t>
      </w:r>
      <w:r>
        <w:rPr>
          <w:rFonts w:hint="eastAsia" w:ascii="仿宋_GB2312" w:hAnsi="仿宋_GB2312" w:eastAsia="仿宋_GB2312" w:cs="仿宋_GB2312"/>
          <w:color w:val="000000"/>
          <w:sz w:val="32"/>
          <w:szCs w:val="32"/>
        </w:rPr>
        <w:br w:type="textWrapping"/>
      </w:r>
      <w:r>
        <w:rPr>
          <w:rFonts w:hint="eastAsia" w:ascii="黑体" w:hAnsi="黑体" w:eastAsia="黑体" w:cs="黑体"/>
          <w:color w:val="000000"/>
          <w:sz w:val="32"/>
          <w:szCs w:val="32"/>
          <w:lang w:val="en-US" w:eastAsia="zh-CN"/>
        </w:rPr>
        <w:t xml:space="preserve">    四、政府信息公开申请办理情况</w:t>
      </w:r>
      <w:r>
        <w:rPr>
          <w:rFonts w:hint="eastAsia" w:ascii="黑体" w:hAnsi="黑体" w:eastAsia="黑体" w:cs="黑体"/>
          <w:color w:val="000000"/>
          <w:sz w:val="32"/>
          <w:szCs w:val="32"/>
          <w:lang w:val="en-US" w:eastAsia="zh-CN"/>
        </w:rPr>
        <w:br w:type="textWrapping"/>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rPr>
        <w:t>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年，我单位未受理各类政府信息公开申请，未形成不予公开信息。</w:t>
      </w:r>
      <w:r>
        <w:rPr>
          <w:rFonts w:hint="eastAsia" w:ascii="仿宋_GB2312" w:hAnsi="仿宋_GB2312" w:eastAsia="仿宋_GB2312" w:cs="仿宋_GB2312"/>
          <w:color w:val="000000"/>
          <w:sz w:val="32"/>
          <w:szCs w:val="32"/>
        </w:rPr>
        <w:br w:type="textWrapping"/>
      </w:r>
      <w:r>
        <w:rPr>
          <w:rFonts w:hint="eastAsia" w:ascii="黑体" w:hAnsi="黑体" w:eastAsia="黑体" w:cs="黑体"/>
          <w:color w:val="000000"/>
          <w:sz w:val="32"/>
          <w:szCs w:val="32"/>
          <w:lang w:val="en-US" w:eastAsia="zh-CN"/>
        </w:rPr>
        <w:t xml:space="preserve">    五、因政府信息公开申请行政复议、提起行政诉讼的情况</w:t>
      </w:r>
      <w:r>
        <w:rPr>
          <w:rFonts w:hint="eastAsia" w:ascii="黑体" w:hAnsi="黑体" w:eastAsia="黑体" w:cs="黑体"/>
          <w:color w:val="000000"/>
          <w:sz w:val="32"/>
          <w:szCs w:val="32"/>
          <w:lang w:val="en-US" w:eastAsia="zh-CN"/>
        </w:rPr>
        <w:br w:type="textWrapping"/>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lang w:eastAsia="zh-CN"/>
        </w:rPr>
        <w:t>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年，我单位对形成的政府信息实现了依法、有序公开，未出现申请行政复议、提起行政诉讼的情况。</w:t>
      </w:r>
      <w:r>
        <w:rPr>
          <w:rFonts w:hint="eastAsia" w:ascii="仿宋_GB2312" w:hAnsi="仿宋_GB2312" w:eastAsia="仿宋_GB2312" w:cs="仿宋_GB2312"/>
          <w:color w:val="000000"/>
          <w:sz w:val="32"/>
          <w:szCs w:val="32"/>
        </w:rPr>
        <w:br w:type="textWrapping"/>
      </w:r>
      <w:r>
        <w:rPr>
          <w:rFonts w:hint="eastAsia" w:ascii="黑体" w:hAnsi="黑体" w:eastAsia="黑体" w:cs="黑体"/>
          <w:color w:val="000000"/>
          <w:sz w:val="32"/>
          <w:szCs w:val="32"/>
          <w:lang w:val="en-US" w:eastAsia="zh-CN"/>
        </w:rPr>
        <w:t xml:space="preserve">    六、政府信息公开保密审查及监督检查情况</w:t>
      </w:r>
      <w:r>
        <w:rPr>
          <w:rFonts w:hint="eastAsia" w:ascii="黑体" w:hAnsi="黑体" w:eastAsia="黑体" w:cs="黑体"/>
          <w:color w:val="000000"/>
          <w:sz w:val="32"/>
          <w:szCs w:val="32"/>
          <w:lang w:val="en-US" w:eastAsia="zh-CN"/>
        </w:rPr>
        <w:br w:type="textWrapping"/>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color w:val="000000"/>
          <w:sz w:val="32"/>
          <w:szCs w:val="32"/>
        </w:rPr>
        <w:t>接到需上报公开信息后，区审计局办公室对拟发信息进行保密安全审核，在确认所提交内容为可公开内容后，再由信息公开小组专职人员对信息进行公开，形成了及时对拟定公开材料进行事前保密审查、事后监督检查，确保所有公开信息准确无误、符合要求的工作机制。</w:t>
      </w:r>
      <w:r>
        <w:rPr>
          <w:rFonts w:hint="eastAsia" w:ascii="仿宋_GB2312" w:hAnsi="仿宋_GB2312" w:eastAsia="仿宋_GB2312" w:cs="仿宋_GB2312"/>
          <w:color w:val="000000"/>
          <w:sz w:val="32"/>
          <w:szCs w:val="32"/>
        </w:rPr>
        <w:br w:type="textWrapping"/>
      </w:r>
      <w:r>
        <w:rPr>
          <w:rFonts w:hint="eastAsia" w:ascii="黑体" w:hAnsi="黑体" w:eastAsia="黑体" w:cs="黑体"/>
          <w:color w:val="000000"/>
          <w:sz w:val="32"/>
          <w:szCs w:val="32"/>
          <w:lang w:val="en-US" w:eastAsia="zh-CN"/>
        </w:rPr>
        <w:t xml:space="preserve">    七、存在的主要问题及改进情况</w:t>
      </w:r>
      <w:r>
        <w:rPr>
          <w:rFonts w:hint="eastAsia" w:ascii="黑体" w:hAnsi="黑体" w:eastAsia="黑体" w:cs="黑体"/>
          <w:color w:val="000000"/>
          <w:sz w:val="32"/>
          <w:szCs w:val="32"/>
          <w:lang w:val="en-US" w:eastAsia="zh-CN"/>
        </w:rPr>
        <w:br w:type="textWrapping"/>
      </w:r>
      <w:r>
        <w:rPr>
          <w:rFonts w:hint="eastAsia" w:ascii="黑体" w:hAnsi="黑体" w:eastAsia="黑体" w:cs="黑体"/>
          <w:color w:val="000000"/>
          <w:sz w:val="32"/>
          <w:szCs w:val="32"/>
          <w:lang w:val="en-US" w:eastAsia="zh-CN"/>
        </w:rPr>
        <w:t xml:space="preserve">    </w:t>
      </w:r>
      <w:r>
        <w:rPr>
          <w:rFonts w:hint="eastAsia" w:ascii="仿宋_GB2312" w:hAnsi="仿宋_GB2312" w:eastAsia="仿宋_GB2312" w:cs="仿宋_GB2312"/>
          <w:sz w:val="32"/>
          <w:szCs w:val="32"/>
        </w:rPr>
        <w:t>2018年，我局在加强政府信息公开基础性工作等方面取得了新的进展，但主动公开政府信息内容与公众的需求还存在一些差距。一是政府信息公开手段单一，仅限于政府网站，运用新闻媒体公布的政务信息更是微乎其微，致使群众获得政务信息的渠道不畅，公开的信息未能达到预期效果。二是政务公开质量不理想，机关的核心信息动态公开管理机制落实不够，重点领域信息公开内容不系统、不全面，政策解读数量比较低、解读方式不够灵活、解读质量不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我局将继续加大工作力度。一是积极探索政府信息公开的好办法、新形式，不断调整审计政府信息公开范围和内容。二是加强政府信息公开工作规范化建设，把政府信息公开工作作为一项长期的日常性工作抓好、抓实，进一步加强操作规范和长效机制建设。三是全力完善和充实主动公开的内容，提升政府信息公开的层次和水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八、其他需要报告的事项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2018年无建议提案办理结果公开情况。</w:t>
      </w:r>
      <w:bookmarkStart w:id="0" w:name="_GoBack"/>
      <w:bookmarkEnd w:id="0"/>
    </w:p>
    <w:p>
      <w:pPr>
        <w:ind w:firstLine="640" w:firstLineChars="200"/>
        <w:rPr>
          <w:rFonts w:hint="eastAsia" w:ascii="仿宋_GB2312" w:hAnsi="仿宋_GB2312" w:eastAsia="仿宋_GB2312" w:cs="仿宋_GB2312"/>
          <w:sz w:val="32"/>
          <w:szCs w:val="32"/>
        </w:rPr>
      </w:pPr>
    </w:p>
    <w:p>
      <w:pPr>
        <w:keepNext w:val="0"/>
        <w:keepLines w:val="0"/>
        <w:pageBreakBefore w:val="0"/>
        <w:numPr>
          <w:ilvl w:val="0"/>
          <w:numId w:val="0"/>
        </w:numPr>
        <w:kinsoku/>
        <w:wordWrap/>
        <w:overflowPunct/>
        <w:topLinePunct w:val="0"/>
        <w:autoSpaceDE w:val="0"/>
        <w:autoSpaceDN/>
        <w:bidi w:val="0"/>
        <w:adjustRightInd/>
        <w:snapToGrid/>
        <w:spacing w:line="560" w:lineRule="exact"/>
        <w:ind w:left="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br w:type="textWrapping"/>
      </w: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120" w:firstLineChars="1600"/>
        <w:jc w:val="both"/>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威海市文登区审计局</w:t>
      </w: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2019年1月25日</w:t>
      </w: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p>
      <w:pPr>
        <w:pStyle w:val="3"/>
        <w:keepNext w:val="0"/>
        <w:keepLines w:val="0"/>
        <w:widowControl/>
        <w:suppressLineNumbers w:val="0"/>
        <w:spacing w:before="0" w:beforeAutospacing="0" w:after="0" w:afterAutospacing="0" w:line="480" w:lineRule="atLeast"/>
        <w:ind w:left="0" w:right="0" w:firstLine="0"/>
        <w:rPr>
          <w:rFonts w:ascii="sans-serif" w:hAnsi="sans-serif" w:eastAsia="sans-serif" w:cs="sans-serif"/>
          <w:i w:val="0"/>
          <w:caps w:val="0"/>
          <w:color w:val="000000"/>
          <w:spacing w:val="0"/>
          <w:sz w:val="44"/>
          <w:szCs w:val="44"/>
        </w:rPr>
      </w:pPr>
      <w:r>
        <w:rPr>
          <w:rFonts w:ascii="黑体" w:hAnsi="宋体" w:eastAsia="黑体" w:cs="黑体"/>
          <w:i w:val="0"/>
          <w:caps w:val="0"/>
          <w:color w:val="000000"/>
          <w:spacing w:val="0"/>
          <w:sz w:val="44"/>
          <w:szCs w:val="44"/>
        </w:rPr>
        <w:t>附件</w:t>
      </w:r>
    </w:p>
    <w:p>
      <w:pPr>
        <w:pStyle w:val="3"/>
        <w:keepNext w:val="0"/>
        <w:keepLines w:val="0"/>
        <w:widowControl/>
        <w:suppressLineNumbers w:val="0"/>
        <w:spacing w:before="0" w:beforeAutospacing="0" w:after="0" w:afterAutospacing="0" w:line="480" w:lineRule="atLeast"/>
        <w:ind w:left="0" w:right="0" w:firstLine="0"/>
        <w:jc w:val="center"/>
        <w:rPr>
          <w:rFonts w:hint="default" w:ascii="sans-serif" w:hAnsi="sans-serif" w:eastAsia="sans-serif" w:cs="sans-serif"/>
          <w:i w:val="0"/>
          <w:caps w:val="0"/>
          <w:color w:val="000000"/>
          <w:spacing w:val="0"/>
          <w:sz w:val="44"/>
          <w:szCs w:val="44"/>
        </w:rPr>
      </w:pPr>
      <w:r>
        <w:rPr>
          <w:rFonts w:ascii="方正小标宋简体" w:hAnsi="方正小标宋简体" w:eastAsia="方正小标宋简体" w:cs="方正小标宋简体"/>
          <w:i w:val="0"/>
          <w:caps w:val="0"/>
          <w:color w:val="000000"/>
          <w:spacing w:val="0"/>
          <w:sz w:val="44"/>
          <w:szCs w:val="44"/>
        </w:rPr>
        <w:t>政府信息公开工作情况统计表</w:t>
      </w:r>
    </w:p>
    <w:p>
      <w:pPr>
        <w:pStyle w:val="3"/>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i w:val="0"/>
          <w:caps w:val="0"/>
          <w:color w:val="000000"/>
          <w:spacing w:val="0"/>
          <w:sz w:val="16"/>
          <w:szCs w:val="16"/>
        </w:rPr>
      </w:pPr>
      <w:r>
        <w:rPr>
          <w:rFonts w:hint="eastAsia" w:ascii="楷体_GB2312" w:hAnsi="楷体_GB2312" w:eastAsia="楷体_GB2312" w:cs="楷体_GB2312"/>
          <w:i w:val="0"/>
          <w:caps w:val="0"/>
          <w:color w:val="000000"/>
          <w:spacing w:val="0"/>
          <w:sz w:val="32"/>
          <w:szCs w:val="32"/>
        </w:rPr>
        <w:t>（2018年度）</w:t>
      </w:r>
    </w:p>
    <w:p>
      <w:pPr>
        <w:pStyle w:val="3"/>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caps w:val="0"/>
          <w:color w:val="000000"/>
          <w:spacing w:val="0"/>
          <w:sz w:val="16"/>
          <w:szCs w:val="16"/>
        </w:rPr>
      </w:pPr>
      <w:r>
        <w:rPr>
          <w:rFonts w:hint="eastAsia" w:ascii="楷体_GB2312" w:hAnsi="Times New Roman" w:eastAsia="楷体_GB2312" w:cs="楷体_GB2312"/>
          <w:i w:val="0"/>
          <w:caps w:val="0"/>
          <w:color w:val="000000"/>
          <w:spacing w:val="0"/>
          <w:sz w:val="32"/>
          <w:szCs w:val="32"/>
        </w:rPr>
        <w:t>单位名称：</w:t>
      </w:r>
      <w:r>
        <w:rPr>
          <w:rFonts w:hint="eastAsia" w:ascii="楷体_GB2312" w:hAnsi="sans-serif" w:eastAsia="楷体_GB2312" w:cs="楷体_GB2312"/>
          <w:i w:val="0"/>
          <w:caps w:val="0"/>
          <w:color w:val="000000"/>
          <w:spacing w:val="0"/>
          <w:sz w:val="32"/>
          <w:szCs w:val="32"/>
        </w:rPr>
        <w:t>文登区审计局</w:t>
      </w:r>
    </w:p>
    <w:tbl>
      <w:tblPr>
        <w:tblStyle w:val="6"/>
        <w:tblW w:w="9560" w:type="dxa"/>
        <w:jc w:val="center"/>
        <w:tblInd w:w="-357"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7346"/>
        <w:gridCol w:w="1167"/>
        <w:gridCol w:w="104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single" w:color="auto" w:sz="4" w:space="0"/>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552"/>
              <w:jc w:val="center"/>
              <w:rPr>
                <w:sz w:val="16"/>
                <w:szCs w:val="16"/>
              </w:rPr>
            </w:pPr>
            <w:r>
              <w:rPr>
                <w:rFonts w:hint="default" w:ascii="Times New Roman" w:hAnsi="Times New Roman" w:cs="Times New Roman"/>
                <w:sz w:val="19"/>
                <w:szCs w:val="19"/>
              </w:rPr>
              <w:t>统　计　指　标</w:t>
            </w:r>
          </w:p>
        </w:tc>
        <w:tc>
          <w:tcPr>
            <w:tcW w:w="1167" w:type="dxa"/>
            <w:tcBorders>
              <w:top w:val="single" w:color="auto" w:sz="4" w:space="0"/>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9"/>
                <w:szCs w:val="19"/>
              </w:rPr>
              <w:t>单位</w:t>
            </w:r>
          </w:p>
        </w:tc>
        <w:tc>
          <w:tcPr>
            <w:tcW w:w="1047" w:type="dxa"/>
            <w:tcBorders>
              <w:top w:val="single" w:color="auto" w:sz="4" w:space="0"/>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9"/>
                <w:szCs w:val="19"/>
              </w:rPr>
              <w:t>统计数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一、主动公开情况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（一）主动公开政府信息数（不同渠道和方式公开相同信息计1</w:t>
            </w:r>
            <w:r>
              <w:rPr>
                <w:rFonts w:hint="eastAsia" w:ascii="宋体" w:hAnsi="宋体" w:eastAsia="宋体" w:cs="宋体"/>
                <w:sz w:val="15"/>
                <w:szCs w:val="15"/>
              </w:rPr>
              <w:t>条）</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86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其中：主动公开规范性文件数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制发规范性文件总数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（二）通过不同渠道和方式公开政府信息的情况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政府公报公开政府信息数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政府网站公开政府信息数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86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3.</w:t>
            </w:r>
            <w:r>
              <w:rPr>
                <w:rFonts w:hint="eastAsia" w:ascii="宋体" w:hAnsi="宋体" w:eastAsia="宋体" w:cs="宋体"/>
                <w:sz w:val="15"/>
                <w:szCs w:val="15"/>
              </w:rPr>
              <w:t>政务微博公开政府信息数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4.</w:t>
            </w:r>
            <w:r>
              <w:rPr>
                <w:rFonts w:hint="eastAsia" w:ascii="宋体" w:hAnsi="宋体" w:eastAsia="宋体" w:cs="宋体"/>
                <w:sz w:val="15"/>
                <w:szCs w:val="15"/>
              </w:rPr>
              <w:t>政务微信公开政府信息数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5.</w:t>
            </w:r>
            <w:r>
              <w:rPr>
                <w:rFonts w:hint="eastAsia" w:ascii="宋体" w:hAnsi="宋体" w:eastAsia="宋体" w:cs="宋体"/>
                <w:sz w:val="15"/>
                <w:szCs w:val="15"/>
              </w:rPr>
              <w:t>其他方式公开政府信息数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二、回应解读情况（不同方式回应同一热点或舆情计1</w:t>
            </w:r>
            <w:r>
              <w:rPr>
                <w:rFonts w:hint="eastAsia" w:ascii="黑体" w:hAnsi="宋体" w:eastAsia="黑体" w:cs="黑体"/>
                <w:sz w:val="16"/>
                <w:szCs w:val="16"/>
              </w:rPr>
              <w:t>次）</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846"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（一）回应公众关注热点或重大舆情数（不同方式回应同一热点或舆情计1</w:t>
            </w:r>
            <w:r>
              <w:rPr>
                <w:rFonts w:hint="eastAsia" w:ascii="宋体" w:hAnsi="宋体" w:eastAsia="宋体" w:cs="宋体"/>
                <w:sz w:val="15"/>
                <w:szCs w:val="15"/>
              </w:rPr>
              <w:t>次）</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（二）通过不同渠道和方式回应解读的情况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参加或举办新闻发布会总次数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其中：主要负责同志参加新闻发布会次数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政府网站在线访谈次数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其中：主要负责同志参加政府网站在线访谈次数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3.</w:t>
            </w:r>
            <w:r>
              <w:rPr>
                <w:rFonts w:hint="eastAsia" w:ascii="宋体" w:hAnsi="宋体" w:eastAsia="宋体" w:cs="宋体"/>
                <w:sz w:val="15"/>
                <w:szCs w:val="15"/>
              </w:rPr>
              <w:t>政策解读稿件发布数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篇</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4.</w:t>
            </w:r>
            <w:r>
              <w:rPr>
                <w:rFonts w:hint="eastAsia" w:ascii="宋体" w:hAnsi="宋体" w:eastAsia="宋体" w:cs="宋体"/>
                <w:sz w:val="15"/>
                <w:szCs w:val="15"/>
              </w:rPr>
              <w:t>微博微信回应事件数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5.</w:t>
            </w:r>
            <w:r>
              <w:rPr>
                <w:rFonts w:hint="eastAsia" w:ascii="宋体" w:hAnsi="宋体" w:eastAsia="宋体" w:cs="宋体"/>
                <w:sz w:val="15"/>
                <w:szCs w:val="15"/>
              </w:rPr>
              <w:t>其他方式回应事件数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三、依申请公开情况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（一）收到申请数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当面申请数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传真申请数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3.</w:t>
            </w:r>
            <w:r>
              <w:rPr>
                <w:rFonts w:hint="eastAsia" w:ascii="宋体" w:hAnsi="宋体" w:eastAsia="宋体" w:cs="宋体"/>
                <w:sz w:val="15"/>
                <w:szCs w:val="15"/>
              </w:rPr>
              <w:t>网络申请数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4.</w:t>
            </w:r>
            <w:r>
              <w:rPr>
                <w:rFonts w:hint="eastAsia" w:ascii="宋体" w:hAnsi="宋体" w:eastAsia="宋体" w:cs="宋体"/>
                <w:sz w:val="15"/>
                <w:szCs w:val="15"/>
              </w:rPr>
              <w:t>信函申请数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5.</w:t>
            </w:r>
            <w:r>
              <w:rPr>
                <w:rFonts w:hint="eastAsia" w:ascii="宋体" w:hAnsi="宋体" w:eastAsia="宋体" w:cs="宋体"/>
                <w:sz w:val="15"/>
                <w:szCs w:val="15"/>
              </w:rPr>
              <w:t>其他形式</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（二）申请办结数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按时办结数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延期办结数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（三）申请答复数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属于已主动公开范围数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同意公开答复数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3.</w:t>
            </w:r>
            <w:r>
              <w:rPr>
                <w:rFonts w:hint="eastAsia" w:ascii="宋体" w:hAnsi="宋体" w:eastAsia="宋体" w:cs="宋体"/>
                <w:sz w:val="15"/>
                <w:szCs w:val="15"/>
              </w:rPr>
              <w:t>同意部分公开答复数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4.</w:t>
            </w:r>
            <w:r>
              <w:rPr>
                <w:rFonts w:hint="eastAsia" w:ascii="宋体" w:hAnsi="宋体" w:eastAsia="宋体" w:cs="宋体"/>
                <w:sz w:val="15"/>
                <w:szCs w:val="15"/>
              </w:rPr>
              <w:t>不同意公开答复数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其中：涉及国家秘密</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涉及商业秘密</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涉及个人隐私</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危及国家安全、公共安全、经济安全和社会稳定</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不是《条例》所指政府信息</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法律法规规定的其他情形</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5.</w:t>
            </w:r>
            <w:r>
              <w:rPr>
                <w:rFonts w:hint="eastAsia" w:ascii="宋体" w:hAnsi="宋体" w:eastAsia="宋体" w:cs="宋体"/>
                <w:sz w:val="15"/>
                <w:szCs w:val="15"/>
              </w:rPr>
              <w:t>不属于本行政机关公开数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6.</w:t>
            </w:r>
            <w:r>
              <w:rPr>
                <w:rFonts w:hint="eastAsia" w:ascii="宋体" w:hAnsi="宋体" w:eastAsia="宋体" w:cs="宋体"/>
                <w:sz w:val="15"/>
                <w:szCs w:val="15"/>
              </w:rPr>
              <w:t>申请信息不存在数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7.</w:t>
            </w:r>
            <w:r>
              <w:rPr>
                <w:rFonts w:hint="eastAsia" w:ascii="宋体" w:hAnsi="宋体" w:eastAsia="宋体" w:cs="宋体"/>
                <w:sz w:val="15"/>
                <w:szCs w:val="15"/>
              </w:rPr>
              <w:t>告知作出更改补充数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8.</w:t>
            </w:r>
            <w:r>
              <w:rPr>
                <w:rFonts w:hint="eastAsia" w:ascii="宋体" w:hAnsi="宋体" w:eastAsia="宋体" w:cs="宋体"/>
                <w:sz w:val="15"/>
                <w:szCs w:val="15"/>
              </w:rPr>
              <w:t>告知通过其他途径办理数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四、行政复议数量</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（一）维持具体行政行为数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（二）被依法纠错数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（三）其他情形数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五、行政诉讼数量</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（一）维持具体行政行为或者驳回原告诉讼请求数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（二）被依法纠错数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（三）其他情形数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六、被举报投诉数量</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（一）维持具体行政行为数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（二）被纠错数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（三）其他情形数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件</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七、向图书馆、档案馆等查阅场所报送信息数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（一）纸质文件数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（二）电子文件数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八、开通政府信息公开网站（或设立门户网站信息公开专栏）数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（一）市政府及其部门门户网站</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（二）县（市、区）政府门户网站</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（三）乡镇政府（街道办事处）门户网站</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九、政府公报发行量</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（一）公报发行期数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期</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（二）公报发行总份数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份</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十、设置政府信息查阅点数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（一）市政府及其部门</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（二）县（市、区）政府及其部门</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（三）乡镇政府（街道办事处）</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十一、查阅点接待人数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（一）市政府及其部门</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（二）县（市、区）政府及其部门</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firstLine="324"/>
              <w:rPr>
                <w:sz w:val="16"/>
                <w:szCs w:val="16"/>
              </w:rPr>
            </w:pPr>
            <w:r>
              <w:rPr>
                <w:rFonts w:hint="default" w:ascii="Times New Roman" w:hAnsi="Times New Roman" w:cs="Times New Roman"/>
                <w:sz w:val="15"/>
                <w:szCs w:val="15"/>
              </w:rPr>
              <w:t>（三）乡镇政府（街道办事处）</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十二、依申请公开信息收取的费用</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万元</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十三、机构建设和保障经费情况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（一）政府信息公开工作专门机构数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个</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（二）从事政府信息公开工作人员数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人</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1.</w:t>
            </w:r>
            <w:r>
              <w:rPr>
                <w:rFonts w:hint="eastAsia" w:ascii="宋体" w:hAnsi="宋体" w:eastAsia="宋体" w:cs="宋体"/>
                <w:sz w:val="15"/>
                <w:szCs w:val="15"/>
              </w:rPr>
              <w:t>专职人员数（不包括政府公报及政府网站工作人员数）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人</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2.</w:t>
            </w:r>
            <w:r>
              <w:rPr>
                <w:rFonts w:hint="eastAsia" w:ascii="宋体" w:hAnsi="宋体" w:eastAsia="宋体" w:cs="宋体"/>
                <w:sz w:val="15"/>
                <w:szCs w:val="15"/>
              </w:rPr>
              <w:t>兼职人员数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人</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846"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（三）政府信息公开专项经费（不包括用于政府公报编辑管理及政府网站建设维护等方面的经费）</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万元</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6"/>
                <w:szCs w:val="16"/>
              </w:rPr>
              <w:t>十四、政府信息公开会议和培训情况</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left"/>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（一）召开政府信息公开工作会议或专题会议数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42"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（二）举办各类培训班数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479" w:hRule="atLeast"/>
          <w:jc w:val="center"/>
        </w:trPr>
        <w:tc>
          <w:tcPr>
            <w:tcW w:w="7346" w:type="dxa"/>
            <w:tcBorders>
              <w:top w:val="nil"/>
              <w:left w:val="single" w:color="auto" w:sz="4" w:space="0"/>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sz w:val="16"/>
                <w:szCs w:val="16"/>
              </w:rPr>
            </w:pPr>
            <w:r>
              <w:rPr>
                <w:rFonts w:hint="default" w:ascii="Times New Roman" w:hAnsi="Times New Roman" w:cs="Times New Roman"/>
                <w:sz w:val="15"/>
                <w:szCs w:val="15"/>
              </w:rPr>
              <w:t>　　（三）接受培训人员数</w:t>
            </w:r>
          </w:p>
        </w:tc>
        <w:tc>
          <w:tcPr>
            <w:tcW w:w="116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sz w:val="16"/>
                <w:szCs w:val="16"/>
              </w:rPr>
            </w:pPr>
            <w:r>
              <w:rPr>
                <w:rFonts w:hint="default" w:ascii="Times New Roman" w:hAnsi="Times New Roman" w:cs="Times New Roman"/>
                <w:sz w:val="15"/>
                <w:szCs w:val="15"/>
              </w:rPr>
              <w:t>人次</w:t>
            </w:r>
          </w:p>
        </w:tc>
        <w:tc>
          <w:tcPr>
            <w:tcW w:w="1047" w:type="dxa"/>
            <w:tcBorders>
              <w:top w:val="nil"/>
              <w:left w:val="nil"/>
              <w:bottom w:val="single" w:color="auto" w:sz="4" w:space="0"/>
              <w:right w:val="single" w:color="auto" w:sz="4" w:space="0"/>
            </w:tcBorders>
            <w:shd w:val="clear" w:color="auto" w:fill="auto"/>
            <w:tcMar>
              <w:top w:w="0" w:type="dxa"/>
              <w:left w:w="0" w:type="dxa"/>
              <w:bottom w:w="0" w:type="dxa"/>
              <w:right w:w="0" w:type="dxa"/>
            </w:tcMar>
            <w:vAlign w:val="center"/>
          </w:tcPr>
          <w:p>
            <w:pPr>
              <w:keepNext w:val="0"/>
              <w:keepLines w:val="0"/>
              <w:widowControl/>
              <w:suppressLineNumbers w:val="0"/>
              <w:jc w:val="center"/>
            </w:pPr>
            <w:r>
              <w:rPr>
                <w:rFonts w:ascii="宋体" w:hAnsi="宋体" w:eastAsia="宋体" w:cs="宋体"/>
                <w:kern w:val="0"/>
                <w:sz w:val="24"/>
                <w:szCs w:val="24"/>
                <w:lang w:val="en-US" w:eastAsia="zh-CN" w:bidi="ar"/>
              </w:rPr>
              <w:t>0</w:t>
            </w:r>
          </w:p>
        </w:tc>
      </w:tr>
    </w:tbl>
    <w:p>
      <w:pPr>
        <w:pStyle w:val="3"/>
        <w:keepNext w:val="0"/>
        <w:keepLines w:val="0"/>
        <w:widowControl/>
        <w:suppressLineNumbers w:val="0"/>
        <w:spacing w:before="0" w:beforeAutospacing="0" w:after="0" w:afterAutospacing="0" w:line="240" w:lineRule="atLeast"/>
        <w:ind w:left="0" w:right="0" w:firstLine="0"/>
        <w:rPr>
          <w:rFonts w:hint="eastAsia" w:ascii="仿宋_GB2312" w:hAnsi="仿宋_GB2312" w:eastAsia="仿宋_GB2312" w:cs="仿宋_GB2312"/>
          <w:i w:val="0"/>
          <w:caps w:val="0"/>
          <w:color w:val="000000"/>
          <w:spacing w:val="0"/>
          <w:sz w:val="24"/>
          <w:szCs w:val="24"/>
        </w:rPr>
      </w:pPr>
      <w:r>
        <w:rPr>
          <w:rFonts w:hint="eastAsia" w:ascii="仿宋_GB2312" w:hAnsi="仿宋_GB2312" w:eastAsia="仿宋_GB2312" w:cs="仿宋_GB2312"/>
          <w:i w:val="0"/>
          <w:caps w:val="0"/>
          <w:color w:val="000000"/>
          <w:spacing w:val="0"/>
          <w:sz w:val="24"/>
          <w:szCs w:val="24"/>
        </w:rPr>
        <w:t>（注：各子栏目数总数要等于总栏目数量）</w:t>
      </w:r>
    </w:p>
    <w:p>
      <w:pPr>
        <w:pStyle w:val="3"/>
        <w:keepNext w:val="0"/>
        <w:keepLines w:val="0"/>
        <w:widowControl/>
        <w:suppressLineNumbers w:val="0"/>
        <w:spacing w:before="0" w:beforeAutospacing="0" w:after="0" w:afterAutospacing="0" w:line="240" w:lineRule="atLeast"/>
        <w:ind w:left="0" w:right="0" w:firstLine="0"/>
        <w:rPr>
          <w:rFonts w:hint="eastAsia" w:ascii="仿宋_GB2312" w:hAnsi="仿宋_GB2312" w:eastAsia="仿宋_GB2312" w:cs="仿宋_GB2312"/>
          <w:i w:val="0"/>
          <w:caps w:val="0"/>
          <w:color w:val="000000"/>
          <w:spacing w:val="0"/>
          <w:sz w:val="24"/>
          <w:szCs w:val="24"/>
        </w:rPr>
      </w:pPr>
      <w:r>
        <w:rPr>
          <w:rFonts w:hint="eastAsia" w:ascii="仿宋_GB2312" w:hAnsi="仿宋_GB2312" w:eastAsia="仿宋_GB2312" w:cs="仿宋_GB2312"/>
          <w:i w:val="0"/>
          <w:caps w:val="0"/>
          <w:color w:val="000000"/>
          <w:spacing w:val="0"/>
          <w:sz w:val="24"/>
          <w:szCs w:val="24"/>
        </w:rPr>
        <w:t> </w:t>
      </w:r>
    </w:p>
    <w:p>
      <w:pPr>
        <w:pStyle w:val="3"/>
        <w:keepNext w:val="0"/>
        <w:keepLines w:val="0"/>
        <w:widowControl/>
        <w:suppressLineNumbers w:val="0"/>
        <w:spacing w:before="0" w:beforeAutospacing="0" w:after="0" w:afterAutospacing="0" w:line="240" w:lineRule="atLeast"/>
        <w:ind w:left="0" w:right="0" w:firstLine="0"/>
        <w:rPr>
          <w:rFonts w:hint="eastAsia" w:ascii="仿宋_GB2312" w:hAnsi="仿宋_GB2312" w:eastAsia="仿宋_GB2312" w:cs="仿宋_GB2312"/>
          <w:i w:val="0"/>
          <w:caps w:val="0"/>
          <w:color w:val="000000"/>
          <w:spacing w:val="0"/>
          <w:sz w:val="24"/>
          <w:szCs w:val="24"/>
        </w:rPr>
      </w:pPr>
      <w:r>
        <w:rPr>
          <w:rFonts w:hint="eastAsia" w:ascii="仿宋_GB2312" w:hAnsi="仿宋_GB2312" w:eastAsia="仿宋_GB2312" w:cs="仿宋_GB2312"/>
          <w:i w:val="0"/>
          <w:caps w:val="0"/>
          <w:color w:val="000000"/>
          <w:spacing w:val="0"/>
          <w:sz w:val="24"/>
          <w:szCs w:val="24"/>
        </w:rPr>
        <w:t>单位负责人：刘爱军                   审核人：李艳                     填报人：宋军</w:t>
      </w:r>
    </w:p>
    <w:p>
      <w:pPr>
        <w:pStyle w:val="3"/>
        <w:keepNext w:val="0"/>
        <w:keepLines w:val="0"/>
        <w:widowControl/>
        <w:suppressLineNumbers w:val="0"/>
        <w:spacing w:before="0" w:beforeAutospacing="0" w:after="0" w:afterAutospacing="0" w:line="240" w:lineRule="atLeast"/>
        <w:ind w:left="0" w:right="0" w:firstLine="0"/>
        <w:rPr>
          <w:rFonts w:hint="eastAsia" w:ascii="仿宋_GB2312" w:hAnsi="仿宋_GB2312" w:eastAsia="仿宋_GB2312" w:cs="仿宋_GB2312"/>
          <w:i w:val="0"/>
          <w:caps w:val="0"/>
          <w:color w:val="000000"/>
          <w:spacing w:val="0"/>
          <w:sz w:val="24"/>
          <w:szCs w:val="24"/>
        </w:rPr>
      </w:pPr>
      <w:r>
        <w:rPr>
          <w:rFonts w:hint="eastAsia" w:ascii="仿宋_GB2312" w:hAnsi="仿宋_GB2312" w:eastAsia="仿宋_GB2312" w:cs="仿宋_GB2312"/>
          <w:i w:val="0"/>
          <w:caps w:val="0"/>
          <w:color w:val="000000"/>
          <w:spacing w:val="0"/>
          <w:sz w:val="24"/>
          <w:szCs w:val="24"/>
        </w:rPr>
        <w:t>联系电话：0631-8252882                  填报日期：2019年1月25日</w:t>
      </w:r>
    </w:p>
    <w:p>
      <w:pPr>
        <w:keepNext w:val="0"/>
        <w:keepLines w:val="0"/>
        <w:pageBreakBefore w:val="0"/>
        <w:widowControl w:val="0"/>
        <w:kinsoku/>
        <w:wordWrap/>
        <w:overflowPunct/>
        <w:topLinePunct w:val="0"/>
        <w:autoSpaceDE w:val="0"/>
        <w:autoSpaceDN/>
        <w:bidi w:val="0"/>
        <w:adjustRightInd/>
        <w:snapToGrid/>
        <w:spacing w:line="560" w:lineRule="exact"/>
        <w:ind w:left="0" w:right="0" w:rightChars="0" w:firstLine="5440" w:firstLineChars="1700"/>
        <w:jc w:val="both"/>
        <w:textAlignment w:val="auto"/>
        <w:outlineLvl w:val="9"/>
        <w:rPr>
          <w:rFonts w:hint="eastAsia" w:ascii="仿宋_GB2312" w:hAnsi="仿宋_GB2312" w:eastAsia="仿宋_GB2312" w:cs="仿宋_GB2312"/>
          <w:color w:val="000000"/>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AEFD26"/>
    <w:multiLevelType w:val="singleLevel"/>
    <w:tmpl w:val="9EAEFD26"/>
    <w:lvl w:ilvl="0" w:tentative="0">
      <w:start w:val="1"/>
      <w:numFmt w:val="chineseCounting"/>
      <w:suff w:val="nothing"/>
      <w:lvlText w:val="%1、"/>
      <w:lvlJc w:val="left"/>
      <w:rPr>
        <w:rFonts w:hint="eastAsia"/>
      </w:rPr>
    </w:lvl>
  </w:abstractNum>
  <w:abstractNum w:abstractNumId="1">
    <w:nsid w:val="1D01B81D"/>
    <w:multiLevelType w:val="singleLevel"/>
    <w:tmpl w:val="1D01B81D"/>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D24"/>
    <w:rsid w:val="00002BC5"/>
    <w:rsid w:val="000A1142"/>
    <w:rsid w:val="000A180B"/>
    <w:rsid w:val="00304BDC"/>
    <w:rsid w:val="003F646D"/>
    <w:rsid w:val="00473D24"/>
    <w:rsid w:val="0073161B"/>
    <w:rsid w:val="008E36E1"/>
    <w:rsid w:val="00CB1DDA"/>
    <w:rsid w:val="00CE11BE"/>
    <w:rsid w:val="00E300E3"/>
    <w:rsid w:val="00F061D6"/>
    <w:rsid w:val="00F82805"/>
    <w:rsid w:val="05C4477F"/>
    <w:rsid w:val="0D8633EB"/>
    <w:rsid w:val="13723797"/>
    <w:rsid w:val="16C52D29"/>
    <w:rsid w:val="1AF61D44"/>
    <w:rsid w:val="1C1C3D50"/>
    <w:rsid w:val="1C8C3BB7"/>
    <w:rsid w:val="1CA401A8"/>
    <w:rsid w:val="1FFA2D64"/>
    <w:rsid w:val="309B2ADE"/>
    <w:rsid w:val="30CD47EC"/>
    <w:rsid w:val="47791DA8"/>
    <w:rsid w:val="4EA64139"/>
    <w:rsid w:val="501B1C01"/>
    <w:rsid w:val="52504632"/>
    <w:rsid w:val="5642625D"/>
    <w:rsid w:val="59A45756"/>
    <w:rsid w:val="5C0D56C4"/>
    <w:rsid w:val="615A0CA9"/>
    <w:rsid w:val="69474538"/>
    <w:rsid w:val="6BD86780"/>
    <w:rsid w:val="70C4362B"/>
    <w:rsid w:val="715450DC"/>
    <w:rsid w:val="75EF511E"/>
    <w:rsid w:val="77934C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5">
    <w:name w:val="Hyperlink"/>
    <w:basedOn w:val="4"/>
    <w:semiHidden/>
    <w:unhideWhenUsed/>
    <w:uiPriority w:val="99"/>
    <w:rPr>
      <w:color w:val="0000FF"/>
      <w:u w:val="single"/>
    </w:rPr>
  </w:style>
  <w:style w:type="character" w:customStyle="1" w:styleId="7">
    <w:name w:val="16"/>
    <w:basedOn w:val="4"/>
    <w:qFormat/>
    <w:uiPriority w:val="0"/>
  </w:style>
  <w:style w:type="character" w:customStyle="1" w:styleId="8">
    <w:name w:val="15"/>
    <w:basedOn w:val="4"/>
    <w:qFormat/>
    <w:uiPriority w:val="0"/>
  </w:style>
  <w:style w:type="character" w:customStyle="1" w:styleId="9">
    <w:name w:val="批注框文本 Char"/>
    <w:basedOn w:val="4"/>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323</Words>
  <Characters>1842</Characters>
  <Lines>15</Lines>
  <Paragraphs>4</Paragraphs>
  <TotalTime>61</TotalTime>
  <ScaleCrop>false</ScaleCrop>
  <LinksUpToDate>false</LinksUpToDate>
  <CharactersWithSpaces>2161</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2016-12-05T00:40:00Z</dcterms:created>
  <dc:creator>usq</dc:creator>
  <cp:lastModifiedBy>岁月勿念</cp:lastModifiedBy>
  <cp:lastPrinted>2018-10-16T01:09:00Z</cp:lastPrinted>
  <dcterms:modified xsi:type="dcterms:W3CDTF">2021-10-11T01:00:28Z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