
<file path=[Content_Types].xml><?xml version="1.0" encoding="utf-8"?>
<Types xmlns="http://schemas.openxmlformats.org/package/2006/content-types">
  <Default Extension="xlsx" ContentType="application/vnd.openxmlformats-officedocument.spreadsheetml.sheet"/>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229D86">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bookmarkStart w:id="0" w:name="_Hlk89165240"/>
      <w:r>
        <w:rPr>
          <w:rFonts w:hint="eastAsia" w:ascii="方正小标宋简体" w:hAnsi="方正小标宋简体" w:eastAsia="方正小标宋简体" w:cs="方正小标宋简体"/>
          <w:b w:val="0"/>
          <w:bCs w:val="0"/>
          <w:color w:val="auto"/>
          <w:sz w:val="44"/>
          <w:szCs w:val="44"/>
          <w:lang w:val="en-US" w:eastAsia="zh-CN"/>
        </w:rPr>
        <w:t>威海市文登区教育和体育局</w:t>
      </w:r>
    </w:p>
    <w:p w14:paraId="4827AF10">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b w:val="0"/>
          <w:bCs w:val="0"/>
          <w:color w:val="auto"/>
          <w:sz w:val="44"/>
          <w:szCs w:val="44"/>
        </w:rPr>
      </w:pPr>
      <w:r>
        <w:rPr>
          <w:rFonts w:hint="eastAsia" w:ascii="方正小标宋简体" w:hAnsi="方正小标宋简体" w:eastAsia="方正小标宋简体" w:cs="方正小标宋简体"/>
          <w:b w:val="0"/>
          <w:bCs w:val="0"/>
          <w:color w:val="auto"/>
          <w:sz w:val="44"/>
          <w:szCs w:val="44"/>
          <w:lang w:val="en-US" w:eastAsia="zh-CN"/>
        </w:rPr>
        <w:t>2022年</w:t>
      </w:r>
      <w:r>
        <w:rPr>
          <w:rFonts w:hint="eastAsia" w:ascii="方正小标宋简体" w:hAnsi="方正小标宋简体" w:eastAsia="方正小标宋简体" w:cs="方正小标宋简体"/>
          <w:b w:val="0"/>
          <w:bCs w:val="0"/>
          <w:color w:val="auto"/>
          <w:sz w:val="44"/>
          <w:szCs w:val="44"/>
        </w:rPr>
        <w:t>政府信息公开工作年度报告</w:t>
      </w:r>
    </w:p>
    <w:bookmarkEnd w:id="0"/>
    <w:p w14:paraId="5EB6F507">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方正小标宋简体" w:hAnsi="方正小标宋简体" w:eastAsia="方正小标宋简体" w:cs="方正小标宋简体"/>
          <w:b w:val="0"/>
          <w:bCs w:val="0"/>
          <w:color w:val="auto"/>
          <w:sz w:val="32"/>
          <w:szCs w:val="32"/>
        </w:rPr>
      </w:pPr>
    </w:p>
    <w:p w14:paraId="450834A2">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根据新修订的《中华人民共和国政府信息公开条例》要求,现公布威海市文登区</w:t>
      </w:r>
      <w:r>
        <w:rPr>
          <w:rFonts w:hint="default" w:ascii="Times New Roman" w:hAnsi="Times New Roman" w:eastAsia="仿宋_GB2312" w:cs="Times New Roman"/>
          <w:b w:val="0"/>
          <w:bCs w:val="0"/>
          <w:color w:val="auto"/>
          <w:sz w:val="32"/>
          <w:szCs w:val="32"/>
          <w:lang w:val="en-US" w:eastAsia="zh-CN"/>
        </w:rPr>
        <w:t>教育和体育局2022</w:t>
      </w:r>
      <w:r>
        <w:rPr>
          <w:rFonts w:hint="default" w:ascii="Times New Roman" w:hAnsi="Times New Roman" w:eastAsia="仿宋_GB2312" w:cs="Times New Roman"/>
          <w:b w:val="0"/>
          <w:bCs w:val="0"/>
          <w:color w:val="auto"/>
          <w:sz w:val="32"/>
          <w:szCs w:val="32"/>
        </w:rPr>
        <w:t>年政府信息公开工作年度报告。</w:t>
      </w:r>
    </w:p>
    <w:p w14:paraId="67AAABFF">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本报告由总体情况、主动公开政府信息情况，收到和处理依申请公开政府信息情况，政府信息公开相关的行政复议、行政诉讼、举报投诉情况，存在的主要问题和改进措施，其他需要报告的事项</w:t>
      </w:r>
      <w:r>
        <w:rPr>
          <w:rFonts w:hint="eastAsia" w:ascii="Times New Roman" w:hAnsi="Times New Roman" w:eastAsia="仿宋_GB2312" w:cs="Times New Roman"/>
          <w:b w:val="0"/>
          <w:bCs w:val="0"/>
          <w:color w:val="auto"/>
          <w:sz w:val="32"/>
          <w:szCs w:val="32"/>
          <w:lang w:val="en-US" w:eastAsia="zh-CN"/>
        </w:rPr>
        <w:t>共6</w:t>
      </w:r>
      <w:r>
        <w:rPr>
          <w:rFonts w:hint="default" w:ascii="Times New Roman" w:hAnsi="Times New Roman" w:eastAsia="仿宋_GB2312" w:cs="Times New Roman"/>
          <w:b w:val="0"/>
          <w:bCs w:val="0"/>
          <w:color w:val="auto"/>
          <w:sz w:val="32"/>
          <w:szCs w:val="32"/>
        </w:rPr>
        <w:t>部分组成。</w:t>
      </w:r>
    </w:p>
    <w:p w14:paraId="3B3FFFA3">
      <w:pPr>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本报告中所列数据的统计期限自202</w:t>
      </w:r>
      <w:r>
        <w:rPr>
          <w:rFonts w:hint="default" w:ascii="Times New Roman" w:hAnsi="Times New Roman" w:eastAsia="仿宋_GB2312" w:cs="Times New Roman"/>
          <w:b w:val="0"/>
          <w:bCs w:val="0"/>
          <w:color w:val="auto"/>
          <w:sz w:val="32"/>
          <w:szCs w:val="32"/>
          <w:lang w:val="en-US" w:eastAsia="zh-CN"/>
        </w:rPr>
        <w:t>2</w:t>
      </w:r>
      <w:r>
        <w:rPr>
          <w:rFonts w:hint="default" w:ascii="Times New Roman" w:hAnsi="Times New Roman" w:eastAsia="仿宋_GB2312" w:cs="Times New Roman"/>
          <w:b w:val="0"/>
          <w:bCs w:val="0"/>
          <w:color w:val="auto"/>
          <w:sz w:val="32"/>
          <w:szCs w:val="32"/>
        </w:rPr>
        <w:t>年1月1日起至202</w:t>
      </w:r>
      <w:r>
        <w:rPr>
          <w:rFonts w:hint="default" w:ascii="Times New Roman" w:hAnsi="Times New Roman" w:eastAsia="仿宋_GB2312" w:cs="Times New Roman"/>
          <w:b w:val="0"/>
          <w:bCs w:val="0"/>
          <w:color w:val="auto"/>
          <w:sz w:val="32"/>
          <w:szCs w:val="32"/>
          <w:lang w:val="en-US" w:eastAsia="zh-CN"/>
        </w:rPr>
        <w:t>2</w:t>
      </w:r>
      <w:r>
        <w:rPr>
          <w:rFonts w:hint="default" w:ascii="Times New Roman" w:hAnsi="Times New Roman" w:eastAsia="仿宋_GB2312" w:cs="Times New Roman"/>
          <w:b w:val="0"/>
          <w:bCs w:val="0"/>
          <w:color w:val="auto"/>
          <w:sz w:val="32"/>
          <w:szCs w:val="32"/>
        </w:rPr>
        <w:t>年12月31日止。本报告的电子版可在威海市文登区人民政府门户网站（</w:t>
      </w:r>
      <w:r>
        <w:rPr>
          <w:rFonts w:hint="default" w:ascii="Times New Roman" w:hAnsi="Times New Roman" w:eastAsia="仿宋_GB2312" w:cs="Times New Roman"/>
          <w:b w:val="0"/>
          <w:bCs w:val="0"/>
          <w:color w:val="auto"/>
          <w:sz w:val="32"/>
          <w:szCs w:val="32"/>
          <w:lang w:eastAsia="zh-CN"/>
        </w:rPr>
        <w:t>http://www.wendeng.gov.cn</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eastAsia="zh-CN"/>
        </w:rPr>
        <w:t>政府信息公开专栏</w:t>
      </w:r>
      <w:r>
        <w:rPr>
          <w:rFonts w:hint="default" w:ascii="Times New Roman" w:hAnsi="Times New Roman" w:eastAsia="仿宋_GB2312" w:cs="Times New Roman"/>
          <w:b w:val="0"/>
          <w:bCs w:val="0"/>
          <w:color w:val="auto"/>
          <w:sz w:val="32"/>
          <w:szCs w:val="32"/>
        </w:rPr>
        <w:t>下载。如对本报告有疑问，请与威海市文登区</w:t>
      </w:r>
      <w:r>
        <w:rPr>
          <w:rFonts w:hint="default" w:ascii="Times New Roman" w:hAnsi="Times New Roman" w:eastAsia="仿宋_GB2312" w:cs="Times New Roman"/>
          <w:b w:val="0"/>
          <w:bCs w:val="0"/>
          <w:color w:val="auto"/>
          <w:sz w:val="32"/>
          <w:szCs w:val="32"/>
          <w:lang w:val="en-US" w:eastAsia="zh-CN"/>
        </w:rPr>
        <w:t>教育和体育局办公室</w:t>
      </w:r>
      <w:r>
        <w:rPr>
          <w:rFonts w:hint="default" w:ascii="Times New Roman" w:hAnsi="Times New Roman" w:eastAsia="仿宋_GB2312" w:cs="Times New Roman"/>
          <w:b w:val="0"/>
          <w:bCs w:val="0"/>
          <w:color w:val="auto"/>
          <w:sz w:val="32"/>
          <w:szCs w:val="32"/>
        </w:rPr>
        <w:t>联系（地址：威海市文登区</w:t>
      </w:r>
      <w:r>
        <w:rPr>
          <w:rFonts w:hint="default" w:ascii="Times New Roman" w:hAnsi="Times New Roman" w:eastAsia="仿宋_GB2312" w:cs="Times New Roman"/>
          <w:b w:val="0"/>
          <w:bCs w:val="0"/>
          <w:color w:val="auto"/>
          <w:sz w:val="32"/>
          <w:szCs w:val="32"/>
          <w:lang w:val="en-US" w:eastAsia="zh-CN"/>
        </w:rPr>
        <w:t>世纪大道84号</w:t>
      </w:r>
      <w:r>
        <w:rPr>
          <w:rFonts w:hint="default" w:ascii="Times New Roman" w:hAnsi="Times New Roman" w:eastAsia="仿宋_GB2312" w:cs="Times New Roman"/>
          <w:b w:val="0"/>
          <w:bCs w:val="0"/>
          <w:color w:val="auto"/>
          <w:sz w:val="32"/>
          <w:szCs w:val="32"/>
        </w:rPr>
        <w:t>；邮编264400；电话：0631—</w:t>
      </w:r>
      <w:r>
        <w:rPr>
          <w:rFonts w:hint="default" w:ascii="Times New Roman" w:hAnsi="Times New Roman" w:eastAsia="仿宋_GB2312" w:cs="Times New Roman"/>
          <w:b w:val="0"/>
          <w:bCs w:val="0"/>
          <w:color w:val="auto"/>
          <w:sz w:val="32"/>
          <w:szCs w:val="32"/>
          <w:lang w:val="en-US" w:eastAsia="zh-CN"/>
        </w:rPr>
        <w:t>8452998</w:t>
      </w:r>
      <w:r>
        <w:rPr>
          <w:rFonts w:hint="default" w:ascii="Times New Roman" w:hAnsi="Times New Roman" w:eastAsia="仿宋_GB2312" w:cs="Times New Roman"/>
          <w:b w:val="0"/>
          <w:bCs w:val="0"/>
          <w:color w:val="auto"/>
          <w:sz w:val="32"/>
          <w:szCs w:val="32"/>
        </w:rPr>
        <w:t>）。</w:t>
      </w:r>
    </w:p>
    <w:p w14:paraId="2992BD51">
      <w:pPr>
        <w:pStyle w:val="3"/>
        <w:pageBreakBefore w:val="0"/>
        <w:widowControl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lang w:val="en-US" w:eastAsia="zh-CN"/>
        </w:rPr>
        <w:t>一、</w:t>
      </w:r>
      <w:r>
        <w:rPr>
          <w:rFonts w:hint="default" w:ascii="Times New Roman" w:hAnsi="Times New Roman" w:eastAsia="黑体" w:cs="Times New Roman"/>
          <w:b w:val="0"/>
          <w:bCs w:val="0"/>
          <w:color w:val="auto"/>
        </w:rPr>
        <w:t>总体情况</w:t>
      </w:r>
    </w:p>
    <w:p w14:paraId="7582C739">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lang w:val="en-US" w:eastAsia="zh-CN"/>
        </w:rPr>
        <w:t>2022</w:t>
      </w:r>
      <w:r>
        <w:rPr>
          <w:rFonts w:hint="default" w:ascii="Times New Roman" w:hAnsi="Times New Roman" w:eastAsia="仿宋_GB2312" w:cs="Times New Roman"/>
          <w:b w:val="0"/>
          <w:bCs w:val="0"/>
          <w:color w:val="auto"/>
          <w:sz w:val="32"/>
          <w:szCs w:val="32"/>
        </w:rPr>
        <w:t>年，</w:t>
      </w:r>
      <w:r>
        <w:rPr>
          <w:rFonts w:hint="default" w:ascii="Times New Roman" w:hAnsi="Times New Roman" w:eastAsia="仿宋_GB2312" w:cs="Times New Roman"/>
          <w:b w:val="0"/>
          <w:bCs w:val="0"/>
          <w:color w:val="auto"/>
          <w:sz w:val="32"/>
          <w:szCs w:val="32"/>
          <w:lang w:val="en-US" w:eastAsia="zh-CN"/>
        </w:rPr>
        <w:t>威海市文登区教育和体育局</w:t>
      </w:r>
      <w:r>
        <w:rPr>
          <w:rFonts w:hint="default" w:ascii="Times New Roman" w:hAnsi="Times New Roman" w:eastAsia="仿宋_GB2312" w:cs="Times New Roman"/>
          <w:b w:val="0"/>
          <w:bCs w:val="0"/>
          <w:color w:val="auto"/>
          <w:sz w:val="32"/>
          <w:szCs w:val="32"/>
        </w:rPr>
        <w:t>坚持贯彻落实《中华人民共和国政府信息公开条例》</w:t>
      </w:r>
      <w:r>
        <w:rPr>
          <w:rFonts w:hint="default" w:ascii="Times New Roman" w:hAnsi="Times New Roman" w:eastAsia="仿宋_GB2312" w:cs="Times New Roman"/>
          <w:b w:val="0"/>
          <w:bCs w:val="0"/>
          <w:color w:val="auto"/>
          <w:sz w:val="32"/>
          <w:szCs w:val="32"/>
          <w:lang w:val="en-US" w:eastAsia="zh-CN"/>
        </w:rPr>
        <w:t>及省市区政府信息公开工作要求</w:t>
      </w:r>
      <w:r>
        <w:rPr>
          <w:rFonts w:hint="default" w:ascii="Times New Roman" w:hAnsi="Times New Roman" w:eastAsia="仿宋_GB2312" w:cs="Times New Roman"/>
          <w:b w:val="0"/>
          <w:bCs w:val="0"/>
          <w:color w:val="auto"/>
          <w:sz w:val="32"/>
          <w:szCs w:val="32"/>
        </w:rPr>
        <w:t>，</w:t>
      </w:r>
      <w:r>
        <w:rPr>
          <w:rFonts w:hint="default" w:ascii="Times New Roman" w:hAnsi="Times New Roman" w:eastAsia="仿宋_GB2312" w:cs="Times New Roman"/>
          <w:b w:val="0"/>
          <w:bCs w:val="0"/>
          <w:color w:val="auto"/>
          <w:sz w:val="32"/>
          <w:szCs w:val="32"/>
          <w:lang w:val="en-US" w:eastAsia="zh-CN"/>
        </w:rPr>
        <w:t>结合教体系统工作实际</w:t>
      </w:r>
      <w:r>
        <w:rPr>
          <w:rFonts w:hint="default" w:ascii="Times New Roman" w:hAnsi="Times New Roman" w:eastAsia="仿宋_GB2312" w:cs="Times New Roman"/>
          <w:b w:val="0"/>
          <w:bCs w:val="0"/>
          <w:color w:val="auto"/>
          <w:sz w:val="32"/>
          <w:szCs w:val="32"/>
        </w:rPr>
        <w:t>，通过扩大公开领域，规范依申请公开， 健全公开机制，优化公开载体，强化监督保障，</w:t>
      </w:r>
      <w:r>
        <w:rPr>
          <w:rFonts w:hint="default" w:ascii="Times New Roman" w:hAnsi="Times New Roman" w:eastAsia="仿宋_GB2312" w:cs="Times New Roman"/>
          <w:b w:val="0"/>
          <w:bCs w:val="0"/>
          <w:color w:val="auto"/>
          <w:sz w:val="32"/>
          <w:szCs w:val="32"/>
          <w:lang w:val="en-US" w:eastAsia="zh-CN"/>
        </w:rPr>
        <w:t>有效提升了人民群众的知情权、参与权、监督权和表达权</w:t>
      </w:r>
      <w:r>
        <w:rPr>
          <w:rFonts w:hint="default" w:ascii="Times New Roman" w:hAnsi="Times New Roman" w:eastAsia="仿宋_GB2312" w:cs="Times New Roman"/>
          <w:b w:val="0"/>
          <w:bCs w:val="0"/>
          <w:color w:val="auto"/>
          <w:sz w:val="32"/>
          <w:szCs w:val="32"/>
        </w:rPr>
        <w:t>。</w:t>
      </w:r>
    </w:p>
    <w:p w14:paraId="786EE848">
      <w:pPr>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（一）主动公开情况</w:t>
      </w:r>
    </w:p>
    <w:p w14:paraId="282A2E36">
      <w:pPr>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rPr>
      </w:pPr>
      <w:r>
        <w:rPr>
          <w:rFonts w:hint="default" w:ascii="Times New Roman" w:hAnsi="Times New Roman" w:eastAsia="仿宋_GB2312" w:cs="Times New Roman"/>
          <w:b w:val="0"/>
          <w:bCs w:val="0"/>
          <w:color w:val="auto"/>
          <w:sz w:val="32"/>
          <w:szCs w:val="32"/>
        </w:rPr>
        <w:t>按要求在“威海市文登区人民政府”网站政务公开栏目及时公布威海市文登区教育和体育局机构职能、部门领导、机构设置、工作动态、公告公示等需要主动公开的政</w:t>
      </w:r>
      <w:r>
        <w:rPr>
          <w:rFonts w:hint="eastAsia" w:ascii="Times New Roman" w:hAnsi="Times New Roman" w:eastAsia="仿宋_GB2312" w:cs="Times New Roman"/>
          <w:b w:val="0"/>
          <w:bCs w:val="0"/>
          <w:color w:val="auto"/>
          <w:sz w:val="32"/>
          <w:szCs w:val="32"/>
          <w:lang w:eastAsia="zh-CN"/>
        </w:rPr>
        <w:t>府</w:t>
      </w:r>
      <w:r>
        <w:rPr>
          <w:rFonts w:hint="default" w:ascii="Times New Roman" w:hAnsi="Times New Roman" w:eastAsia="仿宋_GB2312" w:cs="Times New Roman"/>
          <w:b w:val="0"/>
          <w:bCs w:val="0"/>
          <w:color w:val="auto"/>
          <w:sz w:val="32"/>
          <w:szCs w:val="32"/>
        </w:rPr>
        <w:t>信息。在教育领域、公共文化体育部分，主动公开威海市文登区教育和体育局承担的公共服务信息。</w:t>
      </w:r>
    </w:p>
    <w:p w14:paraId="210C33CF">
      <w:pPr>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完善政府信息公开制度。将政府信息公开工作纳入年度工作计划和考核任务。成立政府信息公开领导小组，由局长任组长，分管领导任副组长，办公室负责信息审核发布，形成了齐抓共管、纵横结合的工作格局。</w:t>
      </w:r>
    </w:p>
    <w:p w14:paraId="0B294BF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rPr>
        <w:t>在发布解读、回应社会关切情况方面，</w:t>
      </w:r>
      <w:r>
        <w:rPr>
          <w:rFonts w:hint="default" w:ascii="Times New Roman" w:hAnsi="Times New Roman" w:eastAsia="仿宋_GB2312" w:cs="Times New Roman"/>
          <w:b w:val="0"/>
          <w:bCs w:val="0"/>
          <w:color w:val="auto"/>
          <w:sz w:val="32"/>
          <w:szCs w:val="32"/>
          <w:lang w:val="en-US" w:eastAsia="zh-CN"/>
        </w:rPr>
        <w:t>通过</w:t>
      </w:r>
      <w:r>
        <w:rPr>
          <w:rFonts w:hint="default" w:ascii="Times New Roman" w:hAnsi="Times New Roman" w:eastAsia="仿宋_GB2312" w:cs="Times New Roman"/>
          <w:b w:val="0"/>
          <w:bCs w:val="0"/>
          <w:color w:val="auto"/>
          <w:sz w:val="32"/>
          <w:szCs w:val="32"/>
        </w:rPr>
        <w:t>政府网站、微信公众号等多种形式，开设政策解读专栏，主动、及时、准确发布政策解读，回应社会各界关切</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共发布</w:t>
      </w:r>
      <w:r>
        <w:rPr>
          <w:rFonts w:hint="default" w:ascii="Times New Roman" w:hAnsi="Times New Roman" w:eastAsia="仿宋_GB2312" w:cs="Times New Roman"/>
          <w:b w:val="0"/>
          <w:bCs w:val="0"/>
          <w:color w:val="auto"/>
          <w:sz w:val="32"/>
          <w:szCs w:val="32"/>
          <w:lang w:val="en-US" w:eastAsia="zh-CN"/>
        </w:rPr>
        <w:t>政策</w:t>
      </w:r>
      <w:r>
        <w:rPr>
          <w:rFonts w:hint="default" w:ascii="Times New Roman" w:hAnsi="Times New Roman" w:eastAsia="仿宋_GB2312" w:cs="Times New Roman"/>
          <w:b w:val="0"/>
          <w:bCs w:val="0"/>
          <w:color w:val="auto"/>
          <w:sz w:val="32"/>
          <w:szCs w:val="32"/>
        </w:rPr>
        <w:t>解读</w:t>
      </w:r>
      <w:r>
        <w:rPr>
          <w:rFonts w:hint="default" w:ascii="Times New Roman" w:hAnsi="Times New Roman" w:eastAsia="仿宋_GB2312" w:cs="Times New Roman"/>
          <w:b w:val="0"/>
          <w:bCs w:val="0"/>
          <w:color w:val="auto"/>
          <w:sz w:val="32"/>
          <w:szCs w:val="32"/>
          <w:lang w:val="en-US" w:eastAsia="zh-CN"/>
        </w:rPr>
        <w:t>7</w:t>
      </w:r>
      <w:r>
        <w:rPr>
          <w:rFonts w:hint="default" w:ascii="Times New Roman" w:hAnsi="Times New Roman" w:eastAsia="仿宋_GB2312" w:cs="Times New Roman"/>
          <w:b w:val="0"/>
          <w:bCs w:val="0"/>
          <w:color w:val="auto"/>
          <w:sz w:val="32"/>
          <w:szCs w:val="32"/>
        </w:rPr>
        <w:t>条。加大主动公开政府信息工作的力度，今年，威海市文登区教育和体育局在政府信息公开网站主动公开发布各类信息</w:t>
      </w:r>
      <w:r>
        <w:rPr>
          <w:rFonts w:hint="default" w:ascii="Times New Roman" w:hAnsi="Times New Roman" w:eastAsia="仿宋_GB2312" w:cs="Times New Roman"/>
          <w:b w:val="0"/>
          <w:bCs w:val="0"/>
          <w:color w:val="auto"/>
          <w:sz w:val="32"/>
          <w:szCs w:val="32"/>
          <w:lang w:val="en-US" w:eastAsia="zh-CN"/>
        </w:rPr>
        <w:t>140余</w:t>
      </w:r>
      <w:r>
        <w:rPr>
          <w:rFonts w:hint="default" w:ascii="Times New Roman" w:hAnsi="Times New Roman" w:eastAsia="仿宋_GB2312" w:cs="Times New Roman"/>
          <w:b w:val="0"/>
          <w:bCs w:val="0"/>
          <w:color w:val="auto"/>
          <w:sz w:val="32"/>
          <w:szCs w:val="32"/>
        </w:rPr>
        <w:t>条。从内容上看，发布工作动态</w:t>
      </w:r>
      <w:r>
        <w:rPr>
          <w:rFonts w:hint="default" w:ascii="Times New Roman" w:hAnsi="Times New Roman" w:eastAsia="仿宋_GB2312" w:cs="Times New Roman"/>
          <w:b w:val="0"/>
          <w:bCs w:val="0"/>
          <w:color w:val="auto"/>
          <w:sz w:val="32"/>
          <w:szCs w:val="32"/>
          <w:lang w:val="en-US" w:eastAsia="zh-CN"/>
        </w:rPr>
        <w:t>3</w:t>
      </w:r>
      <w:r>
        <w:rPr>
          <w:rFonts w:hint="eastAsia" w:ascii="Times New Roman" w:hAnsi="Times New Roman" w:eastAsia="仿宋_GB2312" w:cs="Times New Roman"/>
          <w:b w:val="0"/>
          <w:bCs w:val="0"/>
          <w:color w:val="auto"/>
          <w:sz w:val="32"/>
          <w:szCs w:val="32"/>
          <w:lang w:val="en-US" w:eastAsia="zh-CN"/>
        </w:rPr>
        <w:t>4</w:t>
      </w:r>
      <w:r>
        <w:rPr>
          <w:rFonts w:hint="default" w:ascii="Times New Roman" w:hAnsi="Times New Roman" w:eastAsia="仿宋_GB2312" w:cs="Times New Roman"/>
          <w:b w:val="0"/>
          <w:bCs w:val="0"/>
          <w:color w:val="auto"/>
          <w:sz w:val="32"/>
          <w:szCs w:val="32"/>
        </w:rPr>
        <w:t>条</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rPr>
        <w:t>公告公示信息</w:t>
      </w:r>
      <w:r>
        <w:rPr>
          <w:rFonts w:hint="default" w:ascii="Times New Roman" w:hAnsi="Times New Roman" w:eastAsia="仿宋_GB2312" w:cs="Times New Roman"/>
          <w:b w:val="0"/>
          <w:bCs w:val="0"/>
          <w:color w:val="auto"/>
          <w:sz w:val="32"/>
          <w:szCs w:val="32"/>
          <w:lang w:val="en-US" w:eastAsia="zh-CN"/>
        </w:rPr>
        <w:t>2</w:t>
      </w:r>
      <w:r>
        <w:rPr>
          <w:rFonts w:hint="eastAsia" w:ascii="Times New Roman" w:hAnsi="Times New Roman" w:eastAsia="仿宋_GB2312" w:cs="Times New Roman"/>
          <w:b w:val="0"/>
          <w:bCs w:val="0"/>
          <w:color w:val="auto"/>
          <w:sz w:val="32"/>
          <w:szCs w:val="32"/>
          <w:lang w:val="en-US" w:eastAsia="zh-CN"/>
        </w:rPr>
        <w:t>8</w:t>
      </w:r>
      <w:r>
        <w:rPr>
          <w:rFonts w:hint="default" w:ascii="Times New Roman" w:hAnsi="Times New Roman" w:eastAsia="仿宋_GB2312" w:cs="Times New Roman"/>
          <w:b w:val="0"/>
          <w:bCs w:val="0"/>
          <w:color w:val="auto"/>
          <w:sz w:val="32"/>
          <w:szCs w:val="32"/>
        </w:rPr>
        <w:t>条</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人事信息、机构职能、政策文件等78条</w:t>
      </w:r>
      <w:r>
        <w:rPr>
          <w:rFonts w:hint="default" w:ascii="Times New Roman" w:hAnsi="Times New Roman" w:eastAsia="仿宋_GB2312" w:cs="Times New Roman"/>
          <w:b w:val="0"/>
          <w:bCs w:val="0"/>
          <w:color w:val="auto"/>
          <w:sz w:val="32"/>
          <w:szCs w:val="32"/>
        </w:rPr>
        <w:t>。</w:t>
      </w:r>
      <w:r>
        <w:rPr>
          <w:rFonts w:hint="eastAsia" w:ascii="Times New Roman" w:hAnsi="Times New Roman" w:eastAsia="仿宋_GB2312" w:cs="Times New Roman"/>
          <w:b w:val="0"/>
          <w:bCs w:val="0"/>
          <w:color w:val="auto"/>
          <w:sz w:val="32"/>
          <w:szCs w:val="32"/>
          <w:lang w:val="en-US" w:eastAsia="zh-CN"/>
        </w:rPr>
        <w:t>通过微信公众号“文登区教育和体育局”发布信息353条。</w:t>
      </w:r>
    </w:p>
    <w:p w14:paraId="1BB2565A">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b w:val="0"/>
          <w:bCs w:val="0"/>
          <w:color w:val="auto"/>
          <w:sz w:val="32"/>
          <w:szCs w:val="32"/>
          <w:lang w:eastAsia="zh-CN"/>
        </w:rPr>
      </w:pPr>
      <w:r>
        <w:rPr>
          <w:rFonts w:hint="default" w:ascii="Times New Roman" w:hAnsi="Times New Roman" w:eastAsia="仿宋_GB2312" w:cs="Times New Roman"/>
          <w:b w:val="0"/>
          <w:bCs w:val="0"/>
          <w:color w:val="auto"/>
          <w:sz w:val="32"/>
          <w:szCs w:val="32"/>
          <w:lang w:eastAsia="zh-CN"/>
        </w:rPr>
        <w:drawing>
          <wp:anchor distT="0" distB="0" distL="114300" distR="114300" simplePos="0" relativeHeight="251659264" behindDoc="0" locked="0" layoutInCell="1" allowOverlap="1">
            <wp:simplePos x="0" y="0"/>
            <wp:positionH relativeFrom="column">
              <wp:posOffset>1071245</wp:posOffset>
            </wp:positionH>
            <wp:positionV relativeFrom="paragraph">
              <wp:posOffset>152400</wp:posOffset>
            </wp:positionV>
            <wp:extent cx="3023235" cy="2676525"/>
            <wp:effectExtent l="4445" t="4445" r="20320" b="5080"/>
            <wp:wrapTopAndBottom/>
            <wp:docPr id="8" name="图表 8" descr="7b0a202020202263686172745265734964223a20223230343732323034220a7d0a"/>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anchor>
        </w:drawing>
      </w:r>
    </w:p>
    <w:p w14:paraId="751685B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（二）依申请公开情况</w:t>
      </w:r>
    </w:p>
    <w:p w14:paraId="280261E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2022年，威海市文登区教育和体育局共收到政</w:t>
      </w:r>
      <w:r>
        <w:rPr>
          <w:rFonts w:hint="eastAsia" w:ascii="Times New Roman" w:hAnsi="Times New Roman" w:eastAsia="仿宋_GB2312" w:cs="Times New Roman"/>
          <w:b w:val="0"/>
          <w:bCs w:val="0"/>
          <w:color w:val="auto"/>
          <w:sz w:val="32"/>
          <w:szCs w:val="32"/>
          <w:lang w:val="en-US" w:eastAsia="zh-CN"/>
        </w:rPr>
        <w:t>府</w:t>
      </w:r>
      <w:r>
        <w:rPr>
          <w:rFonts w:hint="default" w:ascii="Times New Roman" w:hAnsi="Times New Roman" w:eastAsia="仿宋_GB2312" w:cs="Times New Roman"/>
          <w:b w:val="0"/>
          <w:bCs w:val="0"/>
          <w:color w:val="auto"/>
          <w:sz w:val="32"/>
          <w:szCs w:val="32"/>
          <w:lang w:val="en-US" w:eastAsia="zh-CN"/>
        </w:rPr>
        <w:t>信息公开申请事项2项，主要涉及政府对校车的补贴等内容，</w:t>
      </w:r>
      <w:r>
        <w:rPr>
          <w:rFonts w:hint="eastAsia" w:ascii="Times New Roman" w:hAnsi="Times New Roman" w:eastAsia="仿宋_GB2312" w:cs="Times New Roman"/>
          <w:b w:val="0"/>
          <w:bCs w:val="0"/>
          <w:color w:val="auto"/>
          <w:sz w:val="32"/>
          <w:szCs w:val="32"/>
          <w:lang w:val="en-US" w:eastAsia="zh-CN"/>
        </w:rPr>
        <w:t>均</w:t>
      </w:r>
      <w:r>
        <w:rPr>
          <w:rFonts w:hint="default" w:ascii="Times New Roman" w:hAnsi="Times New Roman" w:eastAsia="仿宋_GB2312" w:cs="Times New Roman"/>
          <w:b w:val="0"/>
          <w:bCs w:val="0"/>
          <w:color w:val="auto"/>
          <w:sz w:val="32"/>
          <w:szCs w:val="32"/>
          <w:lang w:val="en-US" w:eastAsia="zh-CN"/>
        </w:rPr>
        <w:t>予以部分公开。较去年减少一项，均未收取费用。</w:t>
      </w:r>
    </w:p>
    <w:p w14:paraId="73122AC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（三）政府信息管理情况</w:t>
      </w:r>
    </w:p>
    <w:p w14:paraId="3A7CD8A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rPr>
      </w:pPr>
      <w:r>
        <w:rPr>
          <w:rFonts w:hint="default" w:ascii="Times New Roman" w:hAnsi="Times New Roman" w:eastAsia="仿宋_GB2312" w:cs="Times New Roman"/>
          <w:b w:val="0"/>
          <w:bCs w:val="0"/>
          <w:color w:val="auto"/>
          <w:sz w:val="32"/>
          <w:szCs w:val="32"/>
          <w:lang w:val="en-US" w:eastAsia="zh-CN"/>
        </w:rPr>
        <w:t>一年来，威海市文登区教育和体育局不断优化工作流程，强化信息公开力度，严格执行信息发布审批制度，定期更新部门领导信息等内容。年内，本部门未制发</w:t>
      </w:r>
      <w:r>
        <w:rPr>
          <w:rFonts w:hint="eastAsia" w:ascii="Times New Roman" w:hAnsi="Times New Roman" w:eastAsia="仿宋_GB2312" w:cs="Times New Roman"/>
          <w:b w:val="0"/>
          <w:bCs w:val="0"/>
          <w:color w:val="auto"/>
          <w:sz w:val="32"/>
          <w:szCs w:val="32"/>
          <w:lang w:val="en-US" w:eastAsia="zh-CN"/>
        </w:rPr>
        <w:t>或废止</w:t>
      </w:r>
      <w:r>
        <w:rPr>
          <w:rFonts w:hint="default" w:ascii="Times New Roman" w:hAnsi="Times New Roman" w:eastAsia="仿宋_GB2312" w:cs="Times New Roman"/>
          <w:b w:val="0"/>
          <w:bCs w:val="0"/>
          <w:color w:val="auto"/>
          <w:sz w:val="32"/>
          <w:szCs w:val="32"/>
          <w:lang w:val="en-US" w:eastAsia="zh-CN"/>
        </w:rPr>
        <w:t>规范性文件。</w:t>
      </w:r>
    </w:p>
    <w:p w14:paraId="7DF423E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（四）政府信息公开平台建设情况</w:t>
      </w:r>
    </w:p>
    <w:p w14:paraId="29AA56E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在区政府网站建立“义务教育”专栏，并定期更新。继续抓好政务新媒体运营工作，建立并完善政务新媒体信息发布机制</w:t>
      </w:r>
      <w:r>
        <w:rPr>
          <w:rFonts w:hint="eastAsia" w:ascii="Times New Roman" w:hAnsi="Times New Roman" w:eastAsia="仿宋_GB2312" w:cs="Times New Roman"/>
          <w:b w:val="0"/>
          <w:bCs w:val="0"/>
          <w:color w:val="auto"/>
          <w:sz w:val="32"/>
          <w:szCs w:val="32"/>
          <w:lang w:val="en-US" w:eastAsia="zh-CN"/>
        </w:rPr>
        <w:t>，</w:t>
      </w:r>
      <w:r>
        <w:rPr>
          <w:rFonts w:hint="default" w:ascii="Times New Roman" w:hAnsi="Times New Roman" w:eastAsia="仿宋_GB2312" w:cs="Times New Roman"/>
          <w:b w:val="0"/>
          <w:bCs w:val="0"/>
          <w:color w:val="auto"/>
          <w:sz w:val="32"/>
          <w:szCs w:val="32"/>
          <w:lang w:val="en-US" w:eastAsia="zh-CN"/>
        </w:rPr>
        <w:t>在政务新媒体“文登区教育和体育局”</w:t>
      </w:r>
      <w:r>
        <w:rPr>
          <w:rFonts w:hint="eastAsia" w:ascii="Times New Roman" w:hAnsi="Times New Roman" w:eastAsia="仿宋_GB2312" w:cs="Times New Roman"/>
          <w:b w:val="0"/>
          <w:bCs w:val="0"/>
          <w:color w:val="auto"/>
          <w:sz w:val="32"/>
          <w:szCs w:val="32"/>
          <w:lang w:val="en-US" w:eastAsia="zh-CN"/>
        </w:rPr>
        <w:t>粉丝近6万人，年内阅读总数突破50万，</w:t>
      </w:r>
      <w:r>
        <w:rPr>
          <w:rFonts w:hint="default" w:ascii="Times New Roman" w:hAnsi="Times New Roman" w:eastAsia="仿宋_GB2312" w:cs="Times New Roman"/>
          <w:b w:val="0"/>
          <w:bCs w:val="0"/>
          <w:color w:val="auto"/>
          <w:sz w:val="32"/>
          <w:szCs w:val="32"/>
          <w:lang w:val="en-US" w:eastAsia="zh-CN"/>
        </w:rPr>
        <w:t>开辟</w:t>
      </w:r>
      <w:r>
        <w:rPr>
          <w:rFonts w:hint="eastAsia" w:ascii="Times New Roman" w:hAnsi="Times New Roman" w:eastAsia="仿宋_GB2312" w:cs="Times New Roman"/>
          <w:b w:val="0"/>
          <w:bCs w:val="0"/>
          <w:color w:val="auto"/>
          <w:sz w:val="32"/>
          <w:szCs w:val="32"/>
          <w:lang w:val="en-US" w:eastAsia="zh-CN"/>
        </w:rPr>
        <w:t>了</w:t>
      </w:r>
      <w:r>
        <w:rPr>
          <w:rFonts w:hint="default" w:ascii="Times New Roman" w:hAnsi="Times New Roman" w:eastAsia="仿宋_GB2312" w:cs="Times New Roman"/>
          <w:b w:val="0"/>
          <w:bCs w:val="0"/>
          <w:color w:val="auto"/>
          <w:sz w:val="32"/>
          <w:szCs w:val="32"/>
          <w:lang w:val="en-US" w:eastAsia="zh-CN"/>
        </w:rPr>
        <w:t>“微查询”“微服务”等专栏，及时公开相关信息。定期召开校园开放日等，坚持重大决策事项召开新闻发布会向社会公开。</w:t>
      </w:r>
    </w:p>
    <w:p w14:paraId="1DA43D4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eastAsia="zh-CN"/>
        </w:rPr>
      </w:pPr>
      <w:r>
        <w:rPr>
          <w:rFonts w:hint="default" w:ascii="Times New Roman" w:hAnsi="Times New Roman" w:eastAsia="楷体_GB2312" w:cs="Times New Roman"/>
          <w:b w:val="0"/>
          <w:bCs w:val="0"/>
          <w:color w:val="auto"/>
          <w:sz w:val="32"/>
          <w:szCs w:val="32"/>
          <w:lang w:eastAsia="zh-CN"/>
        </w:rPr>
        <w:t>（五）</w:t>
      </w:r>
      <w:r>
        <w:rPr>
          <w:rFonts w:hint="default" w:ascii="Times New Roman" w:hAnsi="Times New Roman" w:eastAsia="楷体_GB2312" w:cs="Times New Roman"/>
          <w:b w:val="0"/>
          <w:bCs w:val="0"/>
          <w:color w:val="auto"/>
          <w:sz w:val="32"/>
          <w:szCs w:val="32"/>
        </w:rPr>
        <w:t>监督保障</w:t>
      </w:r>
      <w:r>
        <w:rPr>
          <w:rFonts w:hint="default" w:ascii="Times New Roman" w:hAnsi="Times New Roman" w:eastAsia="楷体_GB2312" w:cs="Times New Roman"/>
          <w:b w:val="0"/>
          <w:bCs w:val="0"/>
          <w:color w:val="auto"/>
          <w:sz w:val="32"/>
          <w:szCs w:val="32"/>
          <w:lang w:eastAsia="zh-CN"/>
        </w:rPr>
        <w:t>情况</w:t>
      </w:r>
    </w:p>
    <w:p w14:paraId="132A3241">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2022年，威海市文登区教育和体育局指导下属44所学校扎实做好政府信息更新工作，</w:t>
      </w:r>
      <w:r>
        <w:rPr>
          <w:rFonts w:hint="eastAsia" w:ascii="Times New Roman" w:hAnsi="Times New Roman" w:eastAsia="仿宋_GB2312" w:cs="Times New Roman"/>
          <w:b w:val="0"/>
          <w:bCs w:val="0"/>
          <w:color w:val="auto"/>
          <w:sz w:val="32"/>
          <w:szCs w:val="32"/>
          <w:lang w:val="en-US" w:eastAsia="zh-CN"/>
        </w:rPr>
        <w:t>并将此项工作列入学校目标绩效考核中。</w:t>
      </w:r>
      <w:r>
        <w:rPr>
          <w:rFonts w:hint="default" w:ascii="Times New Roman" w:hAnsi="Times New Roman" w:eastAsia="仿宋_GB2312" w:cs="Times New Roman"/>
          <w:b w:val="0"/>
          <w:bCs w:val="0"/>
          <w:color w:val="auto"/>
          <w:sz w:val="32"/>
          <w:szCs w:val="32"/>
          <w:lang w:val="en-US" w:eastAsia="zh-CN"/>
        </w:rPr>
        <w:t>机关设政务公开专职工作人员一名，分管负责人一名，年内开展机关干部全员培训一次，并将此项工作列入机关干部年度考核。</w:t>
      </w:r>
    </w:p>
    <w:p w14:paraId="00B7863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sz w:val="32"/>
          <w:szCs w:val="32"/>
          <w:lang w:eastAsia="zh-CN"/>
        </w:rPr>
        <w:drawing>
          <wp:anchor distT="0" distB="0" distL="114300" distR="114300" simplePos="0" relativeHeight="251660288" behindDoc="0" locked="0" layoutInCell="1" allowOverlap="1">
            <wp:simplePos x="0" y="0"/>
            <wp:positionH relativeFrom="column">
              <wp:posOffset>66675</wp:posOffset>
            </wp:positionH>
            <wp:positionV relativeFrom="paragraph">
              <wp:posOffset>375920</wp:posOffset>
            </wp:positionV>
            <wp:extent cx="5353050" cy="4716145"/>
            <wp:effectExtent l="0" t="0" r="0" b="8255"/>
            <wp:wrapSquare wrapText="bothSides"/>
            <wp:docPr id="3" name="图片 3" descr="C:/Users/xuanchuan/Desktop/2022年报.png2022年报"/>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C:/Users/xuanchuan/Desktop/2022年报.png2022年报"/>
                    <pic:cNvPicPr>
                      <a:picLocks noChangeAspect="1"/>
                    </pic:cNvPicPr>
                  </pic:nvPicPr>
                  <pic:blipFill>
                    <a:blip r:embed="rId5"/>
                    <a:srcRect t="3836" b="3836"/>
                    <a:stretch>
                      <a:fillRect/>
                    </a:stretch>
                  </pic:blipFill>
                  <pic:spPr>
                    <a:xfrm>
                      <a:off x="0" y="0"/>
                      <a:ext cx="5353050" cy="4716145"/>
                    </a:xfrm>
                    <a:prstGeom prst="rect">
                      <a:avLst/>
                    </a:prstGeom>
                  </pic:spPr>
                </pic:pic>
              </a:graphicData>
            </a:graphic>
          </wp:anchor>
        </w:drawing>
      </w:r>
      <w:r>
        <w:rPr>
          <w:rFonts w:hint="default" w:ascii="Times New Roman" w:hAnsi="Times New Roman" w:eastAsia="黑体" w:cs="Times New Roman"/>
          <w:b w:val="0"/>
          <w:bCs w:val="0"/>
          <w:color w:val="auto"/>
          <w:sz w:val="32"/>
          <w:szCs w:val="32"/>
          <w:lang w:eastAsia="zh-CN"/>
        </w:rPr>
        <w:t>二、</w:t>
      </w:r>
      <w:r>
        <w:rPr>
          <w:rFonts w:hint="default" w:ascii="Times New Roman" w:hAnsi="Times New Roman" w:eastAsia="黑体" w:cs="Times New Roman"/>
          <w:b w:val="0"/>
          <w:bCs w:val="0"/>
          <w:color w:val="auto"/>
          <w:sz w:val="32"/>
          <w:szCs w:val="32"/>
        </w:rPr>
        <w:t>主动公开政府信息情况</w:t>
      </w:r>
    </w:p>
    <w:p w14:paraId="497E99E9">
      <w:pPr>
        <w:pStyle w:val="3"/>
        <w:pageBreakBefore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lang w:eastAsia="zh-CN"/>
        </w:rPr>
        <w:t>三、</w:t>
      </w:r>
      <w:r>
        <w:rPr>
          <w:rFonts w:hint="default" w:ascii="Times New Roman" w:hAnsi="Times New Roman" w:eastAsia="黑体" w:cs="Times New Roman"/>
          <w:b w:val="0"/>
          <w:bCs w:val="0"/>
          <w:color w:val="auto"/>
        </w:rPr>
        <w:t>行政机关收到和处理政府信息公开申请情况</w:t>
      </w:r>
    </w:p>
    <w:p w14:paraId="47943EA2">
      <w:pPr>
        <w:jc w:val="center"/>
        <w:rPr>
          <w:rFonts w:hint="eastAsia" w:eastAsiaTheme="minorEastAsia"/>
          <w:lang w:eastAsia="zh-CN"/>
        </w:rPr>
      </w:pPr>
      <w:r>
        <w:rPr>
          <w:rFonts w:hint="eastAsia" w:eastAsiaTheme="minorEastAsia"/>
          <w:lang w:eastAsia="zh-CN"/>
        </w:rPr>
        <w:drawing>
          <wp:inline distT="0" distB="0" distL="114300" distR="114300">
            <wp:extent cx="5065395" cy="7428230"/>
            <wp:effectExtent l="0" t="0" r="1905" b="1270"/>
            <wp:docPr id="2" name="图片 2" descr="文字文稿3_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文字文稿3_01(1)"/>
                    <pic:cNvPicPr>
                      <a:picLocks noChangeAspect="1"/>
                    </pic:cNvPicPr>
                  </pic:nvPicPr>
                  <pic:blipFill>
                    <a:blip r:embed="rId6"/>
                    <a:stretch>
                      <a:fillRect/>
                    </a:stretch>
                  </pic:blipFill>
                  <pic:spPr>
                    <a:xfrm>
                      <a:off x="0" y="0"/>
                      <a:ext cx="5065395" cy="7428230"/>
                    </a:xfrm>
                    <a:prstGeom prst="rect">
                      <a:avLst/>
                    </a:prstGeom>
                  </pic:spPr>
                </pic:pic>
              </a:graphicData>
            </a:graphic>
          </wp:inline>
        </w:drawing>
      </w:r>
    </w:p>
    <w:p w14:paraId="5A35C8C6">
      <w:pPr>
        <w:pStyle w:val="3"/>
        <w:pageBreakBefore w:val="0"/>
        <w:numPr>
          <w:ilvl w:val="0"/>
          <w:numId w:val="0"/>
        </w:numPr>
        <w:kinsoku/>
        <w:wordWrap/>
        <w:overflowPunct/>
        <w:topLinePunct w:val="0"/>
        <w:autoSpaceDE/>
        <w:autoSpaceDN/>
        <w:bidi w:val="0"/>
        <w:adjustRightInd/>
        <w:snapToGrid/>
        <w:spacing w:before="0" w:after="0" w:line="240" w:lineRule="auto"/>
        <w:jc w:val="both"/>
        <w:textAlignment w:val="auto"/>
        <w:rPr>
          <w:rFonts w:hint="default" w:ascii="Times New Roman" w:hAnsi="Times New Roman" w:eastAsia="黑体" w:cs="Times New Roman"/>
          <w:b w:val="0"/>
          <w:bCs w:val="0"/>
          <w:color w:val="auto"/>
          <w:sz w:val="32"/>
          <w:szCs w:val="32"/>
          <w:lang w:eastAsia="zh-CN"/>
        </w:rPr>
      </w:pPr>
      <w:r>
        <w:rPr>
          <w:rFonts w:hint="default" w:ascii="Times New Roman" w:hAnsi="Times New Roman" w:eastAsia="黑体" w:cs="Times New Roman"/>
          <w:b w:val="0"/>
          <w:bCs w:val="0"/>
          <w:color w:val="auto"/>
          <w:lang w:eastAsia="zh-CN"/>
        </w:rPr>
        <w:t>四、</w:t>
      </w:r>
      <w:r>
        <w:rPr>
          <w:rFonts w:hint="default" w:ascii="Times New Roman" w:hAnsi="Times New Roman" w:eastAsia="黑体" w:cs="Times New Roman"/>
          <w:b w:val="0"/>
          <w:bCs w:val="0"/>
          <w:color w:val="auto"/>
        </w:rPr>
        <w:t>政府信息公开工作被申请行政复议、提起行政诉讼</w:t>
      </w:r>
      <w:r>
        <w:rPr>
          <w:rFonts w:hint="default" w:ascii="Times New Roman" w:hAnsi="Times New Roman" w:eastAsia="黑体" w:cs="Times New Roman"/>
          <w:b w:val="0"/>
          <w:bCs w:val="0"/>
          <w:color w:val="auto"/>
          <w:lang w:eastAsia="zh-CN"/>
        </w:rPr>
        <w:t>情况</w:t>
      </w:r>
    </w:p>
    <w:p w14:paraId="5FB89F95">
      <w:pPr>
        <w:pStyle w:val="3"/>
        <w:pageBreakBefore w:val="0"/>
        <w:widowControl w:val="0"/>
        <w:numPr>
          <w:ilvl w:val="0"/>
          <w:numId w:val="0"/>
        </w:numPr>
        <w:kinsoku/>
        <w:wordWrap/>
        <w:overflowPunct/>
        <w:topLinePunct w:val="0"/>
        <w:autoSpaceDE/>
        <w:autoSpaceDN/>
        <w:bidi w:val="0"/>
        <w:adjustRightInd/>
        <w:snapToGrid/>
        <w:spacing w:before="0" w:after="0" w:line="240" w:lineRule="auto"/>
        <w:textAlignment w:val="auto"/>
        <w:rPr>
          <w:rFonts w:hint="default" w:ascii="Times New Roman" w:hAnsi="Times New Roman" w:eastAsia="黑体" w:cs="Times New Roman"/>
          <w:b w:val="0"/>
          <w:bCs w:val="0"/>
          <w:color w:val="auto"/>
          <w:lang w:eastAsia="zh-CN"/>
        </w:rPr>
      </w:pPr>
      <w:r>
        <w:rPr>
          <w:rFonts w:hint="default" w:ascii="Times New Roman" w:hAnsi="Times New Roman" w:eastAsia="黑体" w:cs="Times New Roman"/>
          <w:b w:val="0"/>
          <w:bCs w:val="0"/>
          <w:color w:val="auto"/>
          <w:lang w:eastAsia="zh-CN"/>
        </w:rPr>
        <w:drawing>
          <wp:inline distT="0" distB="0" distL="114300" distR="114300">
            <wp:extent cx="5441950" cy="2564765"/>
            <wp:effectExtent l="0" t="0" r="6350" b="6985"/>
            <wp:docPr id="5" name="图片 5" descr="文字文稿2_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文字文稿2_01(2)"/>
                    <pic:cNvPicPr>
                      <a:picLocks noChangeAspect="1"/>
                    </pic:cNvPicPr>
                  </pic:nvPicPr>
                  <pic:blipFill>
                    <a:blip r:embed="rId7"/>
                    <a:stretch>
                      <a:fillRect/>
                    </a:stretch>
                  </pic:blipFill>
                  <pic:spPr>
                    <a:xfrm>
                      <a:off x="0" y="0"/>
                      <a:ext cx="5441950" cy="2564765"/>
                    </a:xfrm>
                    <a:prstGeom prst="rect">
                      <a:avLst/>
                    </a:prstGeom>
                  </pic:spPr>
                </pic:pic>
              </a:graphicData>
            </a:graphic>
          </wp:inline>
        </w:drawing>
      </w:r>
    </w:p>
    <w:p w14:paraId="089A5FC9">
      <w:pPr>
        <w:pStyle w:val="3"/>
        <w:pageBreakBefore w:val="0"/>
        <w:widowControl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lang w:eastAsia="zh-CN"/>
        </w:rPr>
        <w:t>五、</w:t>
      </w:r>
      <w:r>
        <w:rPr>
          <w:rFonts w:hint="default" w:ascii="Times New Roman" w:hAnsi="Times New Roman" w:eastAsia="黑体" w:cs="Times New Roman"/>
          <w:b w:val="0"/>
          <w:bCs w:val="0"/>
          <w:color w:val="auto"/>
        </w:rPr>
        <w:t>政府</w:t>
      </w:r>
      <w:r>
        <w:rPr>
          <w:rFonts w:hint="default" w:ascii="Times New Roman" w:hAnsi="Times New Roman" w:eastAsia="黑体" w:cs="Times New Roman"/>
          <w:b w:val="0"/>
          <w:bCs w:val="0"/>
          <w:color w:val="auto"/>
          <w:lang w:val="en-US" w:eastAsia="zh-CN"/>
        </w:rPr>
        <w:t>信</w:t>
      </w:r>
      <w:r>
        <w:rPr>
          <w:rFonts w:hint="default" w:ascii="Times New Roman" w:hAnsi="Times New Roman" w:eastAsia="黑体" w:cs="Times New Roman"/>
          <w:b w:val="0"/>
          <w:bCs w:val="0"/>
          <w:color w:val="auto"/>
        </w:rPr>
        <w:t>息公开工作存在的主要问题及改进情况</w:t>
      </w:r>
    </w:p>
    <w:p w14:paraId="26BCAB5C">
      <w:pPr>
        <w:pStyle w:val="3"/>
        <w:pageBreakBefore w:val="0"/>
        <w:widowControl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（一）工作中存在的主要问题和困难。</w:t>
      </w:r>
      <w:r>
        <w:rPr>
          <w:rFonts w:hint="eastAsia" w:ascii="Times New Roman" w:hAnsi="Times New Roman" w:eastAsia="仿宋_GB2312" w:cs="Times New Roman"/>
          <w:b w:val="0"/>
          <w:bCs w:val="0"/>
          <w:color w:val="auto"/>
          <w:sz w:val="32"/>
          <w:szCs w:val="32"/>
          <w:lang w:val="en-US" w:eastAsia="zh-CN"/>
        </w:rPr>
        <w:t>2022</w:t>
      </w:r>
      <w:r>
        <w:rPr>
          <w:rFonts w:hint="default" w:ascii="Times New Roman" w:hAnsi="Times New Roman" w:eastAsia="仿宋_GB2312" w:cs="Times New Roman"/>
          <w:b w:val="0"/>
          <w:bCs w:val="0"/>
          <w:color w:val="auto"/>
          <w:sz w:val="32"/>
          <w:szCs w:val="32"/>
          <w:lang w:val="en-US" w:eastAsia="zh-CN"/>
        </w:rPr>
        <w:t>年，我局政</w:t>
      </w:r>
      <w:r>
        <w:rPr>
          <w:rFonts w:hint="eastAsia" w:ascii="Times New Roman" w:hAnsi="Times New Roman" w:eastAsia="仿宋_GB2312" w:cs="Times New Roman"/>
          <w:b w:val="0"/>
          <w:bCs w:val="0"/>
          <w:color w:val="auto"/>
          <w:sz w:val="32"/>
          <w:szCs w:val="32"/>
          <w:lang w:val="en-US" w:eastAsia="zh-CN"/>
        </w:rPr>
        <w:t>府</w:t>
      </w:r>
      <w:r>
        <w:rPr>
          <w:rFonts w:hint="default" w:ascii="Times New Roman" w:hAnsi="Times New Roman" w:eastAsia="仿宋_GB2312" w:cs="Times New Roman"/>
          <w:b w:val="0"/>
          <w:bCs w:val="0"/>
          <w:color w:val="auto"/>
          <w:sz w:val="32"/>
          <w:szCs w:val="32"/>
          <w:lang w:val="en-US" w:eastAsia="zh-CN"/>
        </w:rPr>
        <w:t>信息公开工作虽然取得了一定进展，但</w:t>
      </w:r>
      <w:r>
        <w:rPr>
          <w:rFonts w:hint="eastAsia" w:ascii="Times New Roman" w:hAnsi="Times New Roman" w:eastAsia="仿宋_GB2312" w:cs="Times New Roman"/>
          <w:b w:val="0"/>
          <w:bCs w:val="0"/>
          <w:color w:val="auto"/>
          <w:sz w:val="32"/>
          <w:szCs w:val="32"/>
          <w:lang w:val="en-US" w:eastAsia="zh-CN"/>
        </w:rPr>
        <w:t>也存在一些不足</w:t>
      </w:r>
      <w:r>
        <w:rPr>
          <w:rFonts w:hint="default" w:ascii="Times New Roman" w:hAnsi="Times New Roman" w:eastAsia="仿宋_GB2312" w:cs="Times New Roman"/>
          <w:b w:val="0"/>
          <w:bCs w:val="0"/>
          <w:color w:val="auto"/>
          <w:sz w:val="32"/>
          <w:szCs w:val="32"/>
          <w:lang w:val="en-US" w:eastAsia="zh-CN"/>
        </w:rPr>
        <w:t>。一是</w:t>
      </w:r>
      <w:r>
        <w:rPr>
          <w:rFonts w:hint="eastAsia" w:ascii="Times New Roman" w:hAnsi="Times New Roman" w:eastAsia="仿宋_GB2312" w:cs="Times New Roman"/>
          <w:b w:val="0"/>
          <w:bCs w:val="0"/>
          <w:color w:val="auto"/>
          <w:sz w:val="32"/>
          <w:szCs w:val="32"/>
          <w:lang w:val="en-US" w:eastAsia="zh-CN"/>
        </w:rPr>
        <w:t>公共企事业单位相关工作人员专业能力不强，受行业限制，队伍建设整体不稳定，学期末人员更换比例较大，难以保障工作质量</w:t>
      </w:r>
      <w:r>
        <w:rPr>
          <w:rFonts w:hint="default" w:ascii="Times New Roman" w:hAnsi="Times New Roman" w:eastAsia="仿宋_GB2312" w:cs="Times New Roman"/>
          <w:b w:val="0"/>
          <w:bCs w:val="0"/>
          <w:color w:val="auto"/>
          <w:sz w:val="32"/>
          <w:szCs w:val="32"/>
          <w:lang w:val="en-US" w:eastAsia="zh-CN"/>
        </w:rPr>
        <w:t>。二是政</w:t>
      </w:r>
      <w:r>
        <w:rPr>
          <w:rFonts w:hint="eastAsia" w:ascii="Times New Roman" w:hAnsi="Times New Roman" w:eastAsia="仿宋_GB2312" w:cs="Times New Roman"/>
          <w:b w:val="0"/>
          <w:bCs w:val="0"/>
          <w:color w:val="auto"/>
          <w:sz w:val="32"/>
          <w:szCs w:val="32"/>
          <w:lang w:val="en-US" w:eastAsia="zh-CN"/>
        </w:rPr>
        <w:t>府</w:t>
      </w:r>
      <w:r>
        <w:rPr>
          <w:rFonts w:hint="default" w:ascii="Times New Roman" w:hAnsi="Times New Roman" w:eastAsia="仿宋_GB2312" w:cs="Times New Roman"/>
          <w:b w:val="0"/>
          <w:bCs w:val="0"/>
          <w:color w:val="auto"/>
          <w:sz w:val="32"/>
          <w:szCs w:val="32"/>
          <w:lang w:val="en-US" w:eastAsia="zh-CN"/>
        </w:rPr>
        <w:t>信息公开的</w:t>
      </w:r>
      <w:r>
        <w:rPr>
          <w:rFonts w:hint="eastAsia" w:ascii="Times New Roman" w:hAnsi="Times New Roman" w:eastAsia="仿宋_GB2312" w:cs="Times New Roman"/>
          <w:b w:val="0"/>
          <w:bCs w:val="0"/>
          <w:color w:val="auto"/>
          <w:sz w:val="32"/>
          <w:szCs w:val="32"/>
          <w:lang w:val="en-US" w:eastAsia="zh-CN"/>
        </w:rPr>
        <w:t>形式上还有所欠缺，信息类别相对单调，群众喜闻乐见的动漫、视频等形式运用不足</w:t>
      </w:r>
      <w:r>
        <w:rPr>
          <w:rFonts w:hint="default" w:ascii="Times New Roman" w:hAnsi="Times New Roman" w:eastAsia="仿宋_GB2312" w:cs="Times New Roman"/>
          <w:b w:val="0"/>
          <w:bCs w:val="0"/>
          <w:color w:val="auto"/>
          <w:sz w:val="32"/>
          <w:szCs w:val="32"/>
          <w:lang w:val="en-US" w:eastAsia="zh-CN"/>
        </w:rPr>
        <w:t>。</w:t>
      </w:r>
    </w:p>
    <w:p w14:paraId="704146E1">
      <w:pPr>
        <w:pStyle w:val="3"/>
        <w:pageBreakBefore w:val="0"/>
        <w:widowControl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（二）具体的解决办法及改进措施。一是加大</w:t>
      </w:r>
      <w:r>
        <w:rPr>
          <w:rFonts w:hint="eastAsia" w:ascii="Times New Roman" w:hAnsi="Times New Roman" w:eastAsia="仿宋_GB2312" w:cs="Times New Roman"/>
          <w:b w:val="0"/>
          <w:bCs w:val="0"/>
          <w:color w:val="auto"/>
          <w:sz w:val="32"/>
          <w:szCs w:val="32"/>
          <w:lang w:val="en-US" w:eastAsia="zh-CN"/>
        </w:rPr>
        <w:t>公共企事业单位</w:t>
      </w:r>
      <w:r>
        <w:rPr>
          <w:rFonts w:hint="default" w:ascii="Times New Roman" w:hAnsi="Times New Roman" w:eastAsia="仿宋_GB2312" w:cs="Times New Roman"/>
          <w:b w:val="0"/>
          <w:bCs w:val="0"/>
          <w:color w:val="auto"/>
          <w:sz w:val="32"/>
          <w:szCs w:val="32"/>
          <w:lang w:val="en-US" w:eastAsia="zh-CN"/>
        </w:rPr>
        <w:t>信息公开</w:t>
      </w:r>
      <w:r>
        <w:rPr>
          <w:rFonts w:hint="eastAsia" w:ascii="Times New Roman" w:hAnsi="Times New Roman" w:eastAsia="仿宋_GB2312" w:cs="Times New Roman"/>
          <w:b w:val="0"/>
          <w:bCs w:val="0"/>
          <w:color w:val="auto"/>
          <w:sz w:val="32"/>
          <w:szCs w:val="32"/>
          <w:lang w:val="en-US" w:eastAsia="zh-CN"/>
        </w:rPr>
        <w:t>队伍建设和考核力度，指导各学校</w:t>
      </w:r>
      <w:r>
        <w:rPr>
          <w:rFonts w:hint="default" w:ascii="Times New Roman" w:hAnsi="Times New Roman" w:eastAsia="仿宋_GB2312" w:cs="Times New Roman"/>
          <w:b w:val="0"/>
          <w:bCs w:val="0"/>
          <w:color w:val="auto"/>
          <w:sz w:val="32"/>
          <w:szCs w:val="32"/>
          <w:lang w:val="en-US" w:eastAsia="zh-CN"/>
        </w:rPr>
        <w:t>进一步完善信息公开制度，</w:t>
      </w:r>
      <w:r>
        <w:rPr>
          <w:rFonts w:hint="eastAsia" w:ascii="Times New Roman" w:hAnsi="Times New Roman" w:eastAsia="仿宋_GB2312" w:cs="Times New Roman"/>
          <w:b w:val="0"/>
          <w:bCs w:val="0"/>
          <w:color w:val="auto"/>
          <w:sz w:val="32"/>
          <w:szCs w:val="32"/>
          <w:lang w:val="en-US" w:eastAsia="zh-CN"/>
        </w:rPr>
        <w:t>层层传导压</w:t>
      </w:r>
      <w:bookmarkStart w:id="1" w:name="_GoBack"/>
      <w:bookmarkEnd w:id="1"/>
      <w:r>
        <w:rPr>
          <w:rFonts w:hint="eastAsia" w:ascii="Times New Roman" w:hAnsi="Times New Roman" w:eastAsia="仿宋_GB2312" w:cs="Times New Roman"/>
          <w:b w:val="0"/>
          <w:bCs w:val="0"/>
          <w:color w:val="auto"/>
          <w:sz w:val="32"/>
          <w:szCs w:val="32"/>
          <w:lang w:val="en-US" w:eastAsia="zh-CN"/>
        </w:rPr>
        <w:t>力，明确岗位职责，明确凡是人员必须强化岗前培训，确保新上岗人员熟练掌握各项要求，确保信息公开工作质量。二是进一步推动传统公开形式与新媒体相融合，开发一批群众喜闻乐见形式的信息，丰富短视频、动漫等形式的政策解读，让群众看得懂、乐意看</w:t>
      </w:r>
      <w:r>
        <w:rPr>
          <w:rFonts w:hint="default" w:ascii="Times New Roman" w:hAnsi="Times New Roman" w:eastAsia="仿宋_GB2312" w:cs="Times New Roman"/>
          <w:b w:val="0"/>
          <w:bCs w:val="0"/>
          <w:color w:val="auto"/>
          <w:sz w:val="32"/>
          <w:szCs w:val="32"/>
          <w:lang w:val="en-US" w:eastAsia="zh-CN"/>
        </w:rPr>
        <w:t>。</w:t>
      </w:r>
    </w:p>
    <w:p w14:paraId="05385914">
      <w:pPr>
        <w:pStyle w:val="3"/>
        <w:pageBreakBefore w:val="0"/>
        <w:widowControl w:val="0"/>
        <w:numPr>
          <w:ilvl w:val="0"/>
          <w:numId w:val="0"/>
        </w:numPr>
        <w:kinsoku/>
        <w:wordWrap/>
        <w:overflowPunct/>
        <w:topLinePunct w:val="0"/>
        <w:autoSpaceDE/>
        <w:autoSpaceDN/>
        <w:bidi w:val="0"/>
        <w:adjustRightInd/>
        <w:snapToGrid/>
        <w:spacing w:before="0" w:after="0" w:line="560" w:lineRule="exact"/>
        <w:ind w:firstLine="640" w:firstLineChars="200"/>
        <w:textAlignment w:val="auto"/>
        <w:rPr>
          <w:rFonts w:hint="default" w:ascii="Times New Roman" w:hAnsi="Times New Roman" w:eastAsia="黑体" w:cs="Times New Roman"/>
          <w:b w:val="0"/>
          <w:bCs w:val="0"/>
          <w:color w:val="auto"/>
        </w:rPr>
      </w:pPr>
      <w:r>
        <w:rPr>
          <w:rFonts w:hint="default" w:ascii="Times New Roman" w:hAnsi="Times New Roman" w:eastAsia="黑体" w:cs="Times New Roman"/>
          <w:b w:val="0"/>
          <w:bCs w:val="0"/>
          <w:color w:val="auto"/>
          <w:lang w:eastAsia="zh-CN"/>
        </w:rPr>
        <w:t>六、</w:t>
      </w:r>
      <w:r>
        <w:rPr>
          <w:rFonts w:hint="default" w:ascii="Times New Roman" w:hAnsi="Times New Roman" w:eastAsia="黑体" w:cs="Times New Roman"/>
          <w:b w:val="0"/>
          <w:bCs w:val="0"/>
          <w:color w:val="auto"/>
        </w:rPr>
        <w:t>其他需要报告的事项</w:t>
      </w:r>
    </w:p>
    <w:p w14:paraId="770FA84B">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（一）收取信息处理费的情况</w:t>
      </w:r>
    </w:p>
    <w:p w14:paraId="0D42CD56">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本年度威海市文登区教育和体育局未收取信息处理费。</w:t>
      </w:r>
    </w:p>
    <w:p w14:paraId="1A061D2F">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（二）落实上级年度政务公开工作要点情况</w:t>
      </w:r>
    </w:p>
    <w:p w14:paraId="2FCF288F">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本年度威海市文登区教育和体育局扎实做好上级规定的各项政务信息公开工作，严格按照规定时限、内容做好</w:t>
      </w:r>
      <w:r>
        <w:rPr>
          <w:rFonts w:hint="eastAsia" w:ascii="Times New Roman" w:hAnsi="Times New Roman" w:eastAsia="仿宋_GB2312" w:cs="Times New Roman"/>
          <w:b w:val="0"/>
          <w:bCs w:val="0"/>
          <w:color w:val="auto"/>
          <w:sz w:val="32"/>
          <w:szCs w:val="32"/>
          <w:lang w:val="en-US" w:eastAsia="zh-CN"/>
        </w:rPr>
        <w:t>义务教育专题、重点民生与公益事业相关板块、优化营商环境等内容的更新维护工作</w:t>
      </w:r>
      <w:r>
        <w:rPr>
          <w:rFonts w:hint="default" w:ascii="Times New Roman" w:hAnsi="Times New Roman" w:eastAsia="仿宋_GB2312" w:cs="Times New Roman"/>
          <w:b w:val="0"/>
          <w:bCs w:val="0"/>
          <w:color w:val="auto"/>
          <w:sz w:val="32"/>
          <w:szCs w:val="32"/>
          <w:lang w:val="en-US" w:eastAsia="zh-CN"/>
        </w:rPr>
        <w:t>。</w:t>
      </w:r>
    </w:p>
    <w:p w14:paraId="03594D9D">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（三）人大代表建议和政协提案办理结果</w:t>
      </w:r>
    </w:p>
    <w:p w14:paraId="532182C8">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年内办理人大代表建议和政协提案共计14件，其中人大代表建议3件，政协提案11件，均已按期办结，答复满意率100%。</w:t>
      </w:r>
    </w:p>
    <w:p w14:paraId="015F107D">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b w:val="0"/>
          <w:bCs w:val="0"/>
          <w:color w:val="auto"/>
          <w:sz w:val="32"/>
          <w:szCs w:val="32"/>
          <w:lang w:val="en-US" w:eastAsia="zh-CN"/>
        </w:rPr>
      </w:pPr>
      <w:r>
        <w:rPr>
          <w:rFonts w:hint="default" w:ascii="Times New Roman" w:hAnsi="Times New Roman" w:eastAsia="楷体_GB2312" w:cs="Times New Roman"/>
          <w:b w:val="0"/>
          <w:bCs w:val="0"/>
          <w:color w:val="auto"/>
          <w:sz w:val="32"/>
          <w:szCs w:val="32"/>
          <w:lang w:val="en-US" w:eastAsia="zh-CN"/>
        </w:rPr>
        <w:t>（四）年度政务公开工作创新情况</w:t>
      </w:r>
    </w:p>
    <w:p w14:paraId="76B67551">
      <w:pPr>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b w:val="0"/>
          <w:bCs w:val="0"/>
          <w:color w:val="auto"/>
          <w:sz w:val="32"/>
          <w:szCs w:val="32"/>
          <w:lang w:val="en-US" w:eastAsia="zh-CN"/>
        </w:rPr>
      </w:pPr>
      <w:r>
        <w:rPr>
          <w:rFonts w:hint="eastAsia" w:ascii="Times New Roman" w:hAnsi="Times New Roman" w:eastAsia="仿宋_GB2312" w:cs="Times New Roman"/>
          <w:b w:val="0"/>
          <w:bCs w:val="0"/>
          <w:color w:val="auto"/>
          <w:sz w:val="32"/>
          <w:szCs w:val="32"/>
          <w:lang w:val="en-US" w:eastAsia="zh-CN"/>
        </w:rPr>
        <w:t>今年新建设公共企事业单位信息公开教育教学板块，全区</w:t>
      </w:r>
      <w:r>
        <w:rPr>
          <w:rFonts w:hint="default" w:ascii="Times New Roman" w:hAnsi="Times New Roman" w:eastAsia="仿宋_GB2312" w:cs="Times New Roman"/>
          <w:b w:val="0"/>
          <w:bCs w:val="0"/>
          <w:color w:val="auto"/>
          <w:sz w:val="32"/>
          <w:szCs w:val="32"/>
          <w:lang w:val="en-US" w:eastAsia="zh-CN"/>
        </w:rPr>
        <w:t>44所</w:t>
      </w:r>
      <w:r>
        <w:rPr>
          <w:rFonts w:hint="eastAsia" w:ascii="Times New Roman" w:hAnsi="Times New Roman" w:eastAsia="仿宋_GB2312" w:cs="Times New Roman"/>
          <w:b w:val="0"/>
          <w:bCs w:val="0"/>
          <w:color w:val="auto"/>
          <w:sz w:val="32"/>
          <w:szCs w:val="32"/>
          <w:lang w:val="en-US" w:eastAsia="zh-CN"/>
        </w:rPr>
        <w:t>中小学纳入统一管理，扎实做好更新维护工作</w:t>
      </w:r>
      <w:r>
        <w:rPr>
          <w:rFonts w:hint="default" w:ascii="Times New Roman" w:hAnsi="Times New Roman" w:eastAsia="仿宋_GB2312" w:cs="Times New Roman"/>
          <w:b w:val="0"/>
          <w:bCs w:val="0"/>
          <w:color w:val="auto"/>
          <w:sz w:val="32"/>
          <w:szCs w:val="32"/>
          <w:lang w:val="en-US" w:eastAsia="zh-CN"/>
        </w:rPr>
        <w:t>，</w:t>
      </w:r>
      <w:r>
        <w:rPr>
          <w:rFonts w:hint="eastAsia" w:ascii="Times New Roman" w:hAnsi="Times New Roman" w:eastAsia="仿宋_GB2312" w:cs="Times New Roman"/>
          <w:b w:val="0"/>
          <w:bCs w:val="0"/>
          <w:color w:val="auto"/>
          <w:sz w:val="32"/>
          <w:szCs w:val="32"/>
          <w:lang w:val="en-US" w:eastAsia="zh-CN"/>
        </w:rPr>
        <w:t>建立教体系统政务信息公开工作群，及时传达最新工作要求。2022年新学期，协调区政府教育督导室</w:t>
      </w:r>
      <w:r>
        <w:rPr>
          <w:rFonts w:hint="default" w:ascii="Times New Roman" w:hAnsi="Times New Roman" w:eastAsia="仿宋_GB2312" w:cs="Times New Roman"/>
          <w:b w:val="0"/>
          <w:bCs w:val="0"/>
          <w:color w:val="auto"/>
          <w:sz w:val="32"/>
          <w:szCs w:val="32"/>
          <w:lang w:val="en-US" w:eastAsia="zh-CN"/>
        </w:rPr>
        <w:t>将政务公开工作纳入中小学目标绩效管理考核</w:t>
      </w:r>
      <w:r>
        <w:rPr>
          <w:rFonts w:hint="eastAsia" w:ascii="Times New Roman" w:hAnsi="Times New Roman" w:eastAsia="仿宋_GB2312" w:cs="Times New Roman"/>
          <w:b w:val="0"/>
          <w:bCs w:val="0"/>
          <w:color w:val="auto"/>
          <w:sz w:val="32"/>
          <w:szCs w:val="32"/>
          <w:lang w:val="en-US" w:eastAsia="zh-CN"/>
        </w:rPr>
        <w:t>，进一步压实责任，提升中小学工作质量</w:t>
      </w:r>
      <w:r>
        <w:rPr>
          <w:rFonts w:hint="default" w:ascii="Times New Roman" w:hAnsi="Times New Roman" w:eastAsia="仿宋_GB2312" w:cs="Times New Roman"/>
          <w:b w:val="0"/>
          <w:bCs w:val="0"/>
          <w:color w:val="auto"/>
          <w:sz w:val="32"/>
          <w:szCs w:val="32"/>
          <w:lang w:val="en-US" w:eastAsia="zh-CN"/>
        </w:rPr>
        <w:t>。单位新媒体及时公开相关政策，扎实做好日常运维工作，影响力位居全市同类新媒体前列。</w:t>
      </w:r>
    </w:p>
    <w:p w14:paraId="1935271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eastAsia="楷体_GB2312" w:cs="Times New Roman"/>
          <w:kern w:val="0"/>
          <w:sz w:val="32"/>
          <w:szCs w:val="32"/>
          <w:lang w:val="en-US" w:eastAsia="zh-CN" w:bidi="ar"/>
        </w:rPr>
      </w:pPr>
      <w:r>
        <w:rPr>
          <w:rFonts w:hint="eastAsia" w:ascii="Times New Roman" w:hAnsi="Times New Roman" w:eastAsia="楷体_GB2312" w:cs="Times New Roman"/>
          <w:kern w:val="0"/>
          <w:sz w:val="32"/>
          <w:szCs w:val="32"/>
          <w:lang w:val="en-US" w:eastAsia="zh-CN" w:bidi="ar"/>
        </w:rPr>
        <w:t>（五）政府信息公开工作年度报告数据统计需要说明的事项</w:t>
      </w:r>
    </w:p>
    <w:p w14:paraId="4831FD3C">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default"/>
          <w:lang w:val="en-US" w:eastAsia="zh-CN"/>
        </w:rPr>
      </w:pPr>
      <w:r>
        <w:rPr>
          <w:rFonts w:hint="eastAsia" w:ascii="Times New Roman" w:hAnsi="Times New Roman" w:eastAsia="仿宋_GB2312" w:cs="Times New Roman"/>
          <w:sz w:val="32"/>
          <w:szCs w:val="32"/>
          <w:lang w:val="en-US" w:eastAsia="zh-CN"/>
        </w:rPr>
        <w:t>无。</w:t>
      </w:r>
    </w:p>
    <w:p w14:paraId="13AA11A4">
      <w:pPr>
        <w:pStyle w:val="6"/>
        <w:keepNext w:val="0"/>
        <w:keepLines w:val="0"/>
        <w:pageBreakBefore w:val="0"/>
        <w:widowControl/>
        <w:suppressLineNumbers w:val="0"/>
        <w:kinsoku/>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Times New Roman" w:hAnsi="Times New Roman" w:eastAsia="楷体_GB2312" w:cs="Times New Roman"/>
          <w:kern w:val="0"/>
          <w:sz w:val="32"/>
          <w:szCs w:val="32"/>
          <w:lang w:val="en-US" w:eastAsia="zh-CN" w:bidi="ar"/>
        </w:rPr>
      </w:pPr>
      <w:r>
        <w:rPr>
          <w:rFonts w:hint="eastAsia" w:ascii="Times New Roman" w:hAnsi="Times New Roman" w:eastAsia="楷体_GB2312" w:cs="Times New Roman"/>
          <w:kern w:val="0"/>
          <w:sz w:val="32"/>
          <w:szCs w:val="32"/>
          <w:lang w:val="en-US" w:eastAsia="zh-CN" w:bidi="ar"/>
        </w:rPr>
        <w:t>（六）</w:t>
      </w:r>
      <w:r>
        <w:rPr>
          <w:rFonts w:hint="default" w:ascii="Times New Roman" w:hAnsi="Times New Roman" w:eastAsia="楷体_GB2312" w:cs="Times New Roman"/>
          <w:color w:val="auto"/>
          <w:sz w:val="32"/>
          <w:szCs w:val="32"/>
          <w:highlight w:val="none"/>
          <w:lang w:val="en-US" w:eastAsia="zh-CN"/>
        </w:rPr>
        <w:t>本行政机关认为需要报告的其他事项</w:t>
      </w:r>
    </w:p>
    <w:p w14:paraId="57A9296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lang w:val="en-US" w:eastAsia="zh-CN"/>
        </w:rPr>
      </w:pPr>
      <w:r>
        <w:rPr>
          <w:rFonts w:hint="eastAsia" w:ascii="Times New Roman" w:hAnsi="Times New Roman" w:eastAsia="仿宋_GB2312" w:cs="Times New Roman"/>
          <w:sz w:val="32"/>
          <w:szCs w:val="32"/>
          <w:lang w:val="en-US" w:eastAsia="zh-CN"/>
        </w:rPr>
        <w:t>无。</w:t>
      </w:r>
    </w:p>
    <w:p w14:paraId="6F78E3F6">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Times New Roman" w:hAnsi="Times New Roman" w:eastAsia="楷体_GB2312" w:cs="Times New Roman"/>
          <w:kern w:val="0"/>
          <w:sz w:val="32"/>
          <w:szCs w:val="32"/>
          <w:lang w:val="en-US" w:eastAsia="zh-CN" w:bidi="ar"/>
        </w:rPr>
      </w:pPr>
      <w:r>
        <w:rPr>
          <w:rFonts w:hint="eastAsia" w:ascii="Times New Roman" w:hAnsi="Times New Roman" w:eastAsia="楷体_GB2312" w:cs="Times New Roman"/>
          <w:kern w:val="0"/>
          <w:sz w:val="32"/>
          <w:szCs w:val="32"/>
          <w:lang w:val="en-US" w:eastAsia="zh-CN" w:bidi="ar"/>
        </w:rPr>
        <w:t>（七）其他有关文件专门要求通过政府信息公开工作年度报告予以报告的事项</w:t>
      </w:r>
    </w:p>
    <w:p w14:paraId="03BC6C4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lang w:val="en-US" w:eastAsia="zh-CN"/>
        </w:rPr>
      </w:pPr>
      <w:r>
        <w:rPr>
          <w:rFonts w:hint="eastAsia" w:ascii="Times New Roman" w:hAnsi="Times New Roman" w:eastAsia="仿宋_GB2312" w:cs="Times New Roman"/>
          <w:sz w:val="32"/>
          <w:szCs w:val="32"/>
          <w:lang w:val="en-US" w:eastAsia="zh-CN"/>
        </w:rPr>
        <w:t>无。</w:t>
      </w:r>
    </w:p>
    <w:p w14:paraId="49677D41">
      <w:pPr>
        <w:pageBreakBefore w:val="0"/>
        <w:widowControl w:val="0"/>
        <w:kinsoku/>
        <w:wordWrap/>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eastAsia="仿宋_GB2312" w:cs="Times New Roman"/>
          <w:b w:val="0"/>
          <w:bCs w:val="0"/>
          <w:color w:val="auto"/>
          <w:sz w:val="32"/>
          <w:szCs w:val="32"/>
          <w:lang w:val="en-US" w:eastAsia="zh-CN"/>
        </w:rPr>
      </w:pPr>
      <w:r>
        <w:rPr>
          <w:rFonts w:hint="default" w:ascii="Times New Roman" w:hAnsi="Times New Roman" w:eastAsia="仿宋_GB2312" w:cs="Times New Roman"/>
          <w:b w:val="0"/>
          <w:bCs w:val="0"/>
          <w:color w:val="auto"/>
          <w:sz w:val="32"/>
          <w:szCs w:val="32"/>
          <w:lang w:val="en-US" w:eastAsia="zh-CN"/>
        </w:rPr>
        <w:t>威海市文登区教育和体育局</w:t>
      </w:r>
    </w:p>
    <w:p w14:paraId="0EF6421E">
      <w:pPr>
        <w:pageBreakBefore w:val="0"/>
        <w:widowControl w:val="0"/>
        <w:kinsoku/>
        <w:wordWrap w:val="0"/>
        <w:overflowPunct/>
        <w:topLinePunct w:val="0"/>
        <w:autoSpaceDE/>
        <w:autoSpaceDN/>
        <w:bidi w:val="0"/>
        <w:adjustRightInd/>
        <w:snapToGrid/>
        <w:spacing w:line="560" w:lineRule="exact"/>
        <w:ind w:firstLine="640" w:firstLineChars="200"/>
        <w:jc w:val="right"/>
        <w:textAlignment w:val="auto"/>
        <w:rPr>
          <w:rFonts w:hint="default" w:ascii="Times New Roman" w:hAnsi="Times New Roman" w:cs="Times New Roman" w:eastAsiaTheme="minorEastAsia"/>
          <w:b w:val="0"/>
          <w:bCs w:val="0"/>
          <w:color w:val="auto"/>
          <w:lang w:eastAsia="zh-CN"/>
        </w:rPr>
      </w:pPr>
      <w:r>
        <w:rPr>
          <w:rFonts w:hint="default" w:ascii="Times New Roman" w:hAnsi="Times New Roman" w:eastAsia="仿宋_GB2312" w:cs="Times New Roman"/>
          <w:b w:val="0"/>
          <w:bCs w:val="0"/>
          <w:color w:val="auto"/>
          <w:sz w:val="32"/>
          <w:szCs w:val="32"/>
          <w:lang w:val="en-US" w:eastAsia="zh-CN"/>
        </w:rPr>
        <w:t>2023年1月</w:t>
      </w:r>
      <w:r>
        <w:rPr>
          <w:rFonts w:hint="eastAsia" w:ascii="Times New Roman" w:hAnsi="Times New Roman" w:eastAsia="仿宋_GB2312" w:cs="Times New Roman"/>
          <w:b w:val="0"/>
          <w:bCs w:val="0"/>
          <w:color w:val="auto"/>
          <w:sz w:val="32"/>
          <w:szCs w:val="32"/>
          <w:lang w:val="en-US" w:eastAsia="zh-CN"/>
        </w:rPr>
        <w:t>16</w:t>
      </w:r>
      <w:r>
        <w:rPr>
          <w:rFonts w:hint="default" w:ascii="Times New Roman" w:hAnsi="Times New Roman" w:eastAsia="仿宋_GB2312" w:cs="Times New Roman"/>
          <w:b w:val="0"/>
          <w:bCs w:val="0"/>
          <w:color w:val="auto"/>
          <w:sz w:val="32"/>
          <w:szCs w:val="32"/>
          <w:lang w:val="en-US" w:eastAsia="zh-CN"/>
        </w:rPr>
        <w:t xml:space="preserve">日  </w:t>
      </w:r>
    </w:p>
    <w:sectPr>
      <w:pgSz w:w="11906" w:h="16838"/>
      <w:pgMar w:top="2098" w:right="1800"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auto"/>
    <w:pitch w:val="default"/>
    <w:sig w:usb0="A00002EF" w:usb1="4000207B" w:usb2="00000000"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I0NmQ3YWNhYzJhYzdlYmE1ZDkyMWNhMGE3NzEwMjEifQ=="/>
  </w:docVars>
  <w:rsids>
    <w:rsidRoot w:val="6E5226A0"/>
    <w:rsid w:val="01CB7760"/>
    <w:rsid w:val="02BA0F4D"/>
    <w:rsid w:val="0B1B4B51"/>
    <w:rsid w:val="0BD97EB2"/>
    <w:rsid w:val="101B0B9A"/>
    <w:rsid w:val="11C1469F"/>
    <w:rsid w:val="14327DB4"/>
    <w:rsid w:val="15414279"/>
    <w:rsid w:val="17D722D9"/>
    <w:rsid w:val="18534161"/>
    <w:rsid w:val="1C567517"/>
    <w:rsid w:val="1C71454E"/>
    <w:rsid w:val="27A961FC"/>
    <w:rsid w:val="2CE7773A"/>
    <w:rsid w:val="325764CE"/>
    <w:rsid w:val="328A10F1"/>
    <w:rsid w:val="33276546"/>
    <w:rsid w:val="38DA536D"/>
    <w:rsid w:val="39C26124"/>
    <w:rsid w:val="3A45493C"/>
    <w:rsid w:val="437159C8"/>
    <w:rsid w:val="441F670F"/>
    <w:rsid w:val="462A1956"/>
    <w:rsid w:val="4DBD2033"/>
    <w:rsid w:val="536D4E77"/>
    <w:rsid w:val="57E3660A"/>
    <w:rsid w:val="57EF743F"/>
    <w:rsid w:val="61F65A66"/>
    <w:rsid w:val="62B24C02"/>
    <w:rsid w:val="6A7750C9"/>
    <w:rsid w:val="6E5226A0"/>
    <w:rsid w:val="6EBC4974"/>
    <w:rsid w:val="70B17960"/>
    <w:rsid w:val="738669CB"/>
    <w:rsid w:val="78FF03FC"/>
    <w:rsid w:val="7A173A72"/>
    <w:rsid w:val="7ACC0F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2"/>
    <w:basedOn w:val="1"/>
    <w:next w:val="1"/>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character" w:default="1" w:styleId="9">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Normal Indent"/>
    <w:basedOn w:val="1"/>
    <w:qFormat/>
    <w:uiPriority w:val="0"/>
    <w:pPr>
      <w:ind w:firstLine="420" w:firstLineChars="200"/>
    </w:pPr>
  </w:style>
  <w:style w:type="paragraph" w:styleId="4">
    <w:name w:val="footer"/>
    <w:basedOn w:val="1"/>
    <w:autoRedefine/>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3.jpeg"/><Relationship Id="rId6" Type="http://schemas.openxmlformats.org/officeDocument/2006/relationships/image" Target="media/image2.jpeg"/><Relationship Id="rId5" Type="http://schemas.openxmlformats.org/officeDocument/2006/relationships/image" Target="media/image1.png"/><Relationship Id="rId4" Type="http://schemas.openxmlformats.org/officeDocument/2006/relationships/chart" Target="charts/chart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800" b="1" i="0" u="none" strike="noStrike" kern="1200" baseline="0">
                <a:solidFill>
                  <a:schemeClr val="dk1">
                    <a:lumMod val="75000"/>
                    <a:lumOff val="25000"/>
                  </a:schemeClr>
                </a:solidFill>
                <a:latin typeface="+mn-lt"/>
                <a:ea typeface="+mn-ea"/>
                <a:cs typeface="+mn-cs"/>
              </a:defRPr>
            </a:pPr>
            <a:r>
              <a:rPr lang="en-US" altLang="zh-CN" sz="1600">
                <a:latin typeface="方正小标宋简体" panose="02010601030101010101" charset="-122"/>
                <a:ea typeface="方正小标宋简体" panose="02010601030101010101" charset="-122"/>
                <a:cs typeface="方正小标宋简体" panose="02010601030101010101" charset="-122"/>
              </a:rPr>
              <a:t>2022</a:t>
            </a:r>
            <a:r>
              <a:rPr altLang="en-US" sz="1600">
                <a:latin typeface="方正小标宋简体" panose="02010601030101010101" charset="-122"/>
                <a:ea typeface="方正小标宋简体" panose="02010601030101010101" charset="-122"/>
                <a:cs typeface="方正小标宋简体" panose="02010601030101010101" charset="-122"/>
              </a:rPr>
              <a:t>年年政府网站信息发布示意图</a:t>
            </a:r>
            <a:endParaRPr lang="en-US" altLang="zh-CN" sz="1600">
              <a:latin typeface="方正小标宋简体" panose="02010601030101010101" charset="-122"/>
              <a:ea typeface="方正小标宋简体" panose="02010601030101010101" charset="-122"/>
              <a:cs typeface="方正小标宋简体" panose="02010601030101010101" charset="-122"/>
            </a:endParaRPr>
          </a:p>
        </c:rich>
      </c:tx>
      <c:layout>
        <c:manualLayout>
          <c:xMode val="edge"/>
          <c:yMode val="edge"/>
          <c:x val="0.119704433497537"/>
          <c:y val="0.0066006600660066"/>
        </c:manualLayout>
      </c:layout>
      <c:overlay val="0"/>
      <c:spPr>
        <a:noFill/>
        <a:ln>
          <a:noFill/>
        </a:ln>
        <a:effectLst/>
      </c:spPr>
    </c:title>
    <c:autoTitleDeleted val="0"/>
    <c:view3D>
      <c:rotX val="50"/>
      <c:rotY val="18"/>
      <c:depthPercent val="100"/>
      <c:rAngAx val="0"/>
    </c:view3D>
    <c:floor>
      <c:thickness val="0"/>
      <c:spPr>
        <a:noFill/>
        <a:effectLst/>
      </c:spPr>
    </c:floor>
    <c:sideWall>
      <c:thickness val="0"/>
      <c:spPr>
        <a:noFill/>
        <a:effectLst/>
      </c:spPr>
    </c:sideWall>
    <c:backWall>
      <c:thickness val="0"/>
      <c:spPr>
        <a:noFill/>
        <a:effectLst/>
      </c:spPr>
    </c:backWall>
    <c:plotArea>
      <c:layout>
        <c:manualLayout>
          <c:layoutTarget val="inner"/>
          <c:xMode val="edge"/>
          <c:yMode val="edge"/>
          <c:x val="0.100476619863455"/>
          <c:y val="0.17418930762489"/>
          <c:w val="0.816436944480227"/>
          <c:h val="0.671779141104294"/>
        </c:manualLayout>
      </c:layout>
      <c:pie3DChart>
        <c:varyColors val="1"/>
        <c:ser>
          <c:idx val="0"/>
          <c:order val="0"/>
          <c:tx>
            <c:strRef>
              <c:f>Sheet1!$B$1</c:f>
              <c:strCache>
                <c:ptCount val="1"/>
                <c:pt idx="0">
                  <c:v>列1</c:v>
                </c:pt>
              </c:strCache>
            </c:strRef>
          </c:tx>
          <c:spPr>
            <a:scene3d>
              <a:camera prst="orthographicFront"/>
              <a:lightRig rig="threePt" dir="t"/>
            </a:scene3d>
            <a:sp3d contourW="9525"/>
          </c:spPr>
          <c:explosion val="0"/>
          <c:dPt>
            <c:idx val="0"/>
            <c:bubble3D val="0"/>
            <c:spPr>
              <a:solidFill>
                <a:schemeClr val="accent1"/>
              </a:solidFill>
              <a:ln>
                <a:noFill/>
              </a:ln>
              <a:effectLst>
                <a:outerShdw blurRad="254000" sx="102000" sy="102000" algn="ctr" rotWithShape="0">
                  <a:prstClr val="black">
                    <a:alpha val="20000"/>
                  </a:prstClr>
                </a:outerShdw>
              </a:effectLst>
            </c:spPr>
          </c:dPt>
          <c:dPt>
            <c:idx val="1"/>
            <c:bubble3D val="0"/>
            <c:spPr>
              <a:solidFill>
                <a:schemeClr val="accent2"/>
              </a:solidFill>
              <a:ln>
                <a:noFill/>
              </a:ln>
              <a:effectLst>
                <a:outerShdw blurRad="254000" sx="102000" sy="102000" algn="ctr" rotWithShape="0">
                  <a:prstClr val="black">
                    <a:alpha val="20000"/>
                  </a:prstClr>
                </a:outerShdw>
              </a:effectLst>
            </c:spPr>
          </c:dPt>
          <c:dPt>
            <c:idx val="2"/>
            <c:bubble3D val="0"/>
            <c:spPr>
              <a:solidFill>
                <a:schemeClr val="accent3"/>
              </a:solidFill>
              <a:ln>
                <a:noFill/>
              </a:ln>
              <a:effectLst>
                <a:outerShdw blurRad="254000" sx="102000" sy="102000" algn="ctr" rotWithShape="0">
                  <a:prstClr val="black">
                    <a:alpha val="20000"/>
                  </a:prstClr>
                </a:outerShdw>
              </a:effectLst>
            </c:spPr>
          </c:dPt>
          <c:dLbls>
            <c:dLbl>
              <c:idx val="0"/>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业务动态</a:t>
                    </a:r>
                  </a:p>
                  <a:p>
                    <a:pPr defTabSz="914400">
                      <a:defRPr lang="zh-CN" sz="1000" b="1" i="0" u="none" strike="noStrike" kern="1200" baseline="0">
                        <a:solidFill>
                          <a:schemeClr val="lt1"/>
                        </a:solidFill>
                        <a:latin typeface="+mn-lt"/>
                        <a:ea typeface="+mn-ea"/>
                        <a:cs typeface="+mn-cs"/>
                      </a:defRPr>
                    </a:pPr>
                    <a:r>
                      <a:rPr lang="en-US" altLang="zh-CN"/>
                      <a:t>34</a:t>
                    </a:r>
                    <a:endParaRPr lang="en-US" altLang="zh-CN"/>
                  </a:p>
                </c:rich>
              </c:tx>
              <c:dLblPos val="ctr"/>
              <c:showLegendKey val="0"/>
              <c:showVal val="0"/>
              <c:showCatName val="1"/>
              <c:showSerName val="0"/>
              <c:showPercent val="1"/>
              <c:showBubbleSize val="0"/>
              <c:separator>
</c:separator>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公告公示</a:t>
                    </a:r>
                  </a:p>
                  <a:p>
                    <a:pPr defTabSz="914400">
                      <a:defRPr lang="zh-CN" sz="1000" b="1" i="0" u="none" strike="noStrike" kern="1200" baseline="0">
                        <a:solidFill>
                          <a:schemeClr val="lt1"/>
                        </a:solidFill>
                        <a:latin typeface="+mn-lt"/>
                        <a:ea typeface="+mn-ea"/>
                        <a:cs typeface="+mn-cs"/>
                      </a:defRPr>
                    </a:pPr>
                    <a:r>
                      <a:rPr lang="en-US" altLang="zh-CN"/>
                      <a:t>28</a:t>
                    </a:r>
                    <a:endParaRPr lang="en-US" altLang="zh-CN"/>
                  </a:p>
                </c:rich>
              </c:tx>
              <c:dLblPos val="ctr"/>
              <c:showLegendKey val="0"/>
              <c:showVal val="0"/>
              <c:showCatName val="1"/>
              <c:showSerName val="0"/>
              <c:showPercent val="1"/>
              <c:showBubbleSize val="0"/>
              <c:separator>
</c:separator>
              <c:extLst>
                <c:ext xmlns:c15="http://schemas.microsoft.com/office/drawing/2012/chart" uri="{CE6537A1-D6FC-4f65-9D91-7224C49458BB}"/>
              </c:extLst>
            </c:dLbl>
            <c:dLbl>
              <c:idx val="2"/>
              <c:layout>
                <c:manualLayout>
                  <c:x val="0.215036747384711"/>
                  <c:y val="0.0276272832765328"/>
                </c:manualLayout>
              </c:layout>
              <c:tx>
                <c:rich>
                  <a:bodyPr rot="0" spcFirstLastPara="0" vertOverflow="ellipsis" vert="horz" wrap="square" lIns="38100" tIns="19050" rIns="38100" bIns="19050" anchor="ctr" anchorCtr="1"/>
                  <a:lstStyle/>
                  <a:p>
                    <a:pPr defTabSz="914400">
                      <a:defRPr lang="zh-CN" sz="1000" b="1" i="0" u="none" strike="noStrike" kern="1200" baseline="0">
                        <a:solidFill>
                          <a:schemeClr val="lt1"/>
                        </a:solidFill>
                        <a:latin typeface="+mn-lt"/>
                        <a:ea typeface="+mn-ea"/>
                        <a:cs typeface="+mn-cs"/>
                      </a:defRPr>
                    </a:pPr>
                    <a:r>
                      <a:t>其他信息</a:t>
                    </a:r>
                  </a:p>
                  <a:p>
                    <a:pPr defTabSz="914400">
                      <a:defRPr lang="zh-CN" sz="1000" b="1" i="0" u="none" strike="noStrike" kern="1200" baseline="0">
                        <a:solidFill>
                          <a:schemeClr val="lt1"/>
                        </a:solidFill>
                        <a:latin typeface="+mn-lt"/>
                        <a:ea typeface="+mn-ea"/>
                        <a:cs typeface="+mn-cs"/>
                      </a:defRPr>
                    </a:pPr>
                    <a:r>
                      <a:rPr lang="en-US" altLang="zh-CN"/>
                      <a:t>78</a:t>
                    </a:r>
                    <a:endParaRPr lang="en-US" altLang="zh-CN"/>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numFmt formatCode="General" sourceLinked="1"/>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ctr"/>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Sheet1!$A$2:$A$4</c:f>
              <c:strCache>
                <c:ptCount val="3"/>
                <c:pt idx="0">
                  <c:v>业务动态</c:v>
                </c:pt>
                <c:pt idx="1">
                  <c:v>公告公示</c:v>
                </c:pt>
                <c:pt idx="2">
                  <c:v>其他信息</c:v>
                </c:pt>
              </c:strCache>
            </c:strRef>
          </c:cat>
          <c:val>
            <c:numRef>
              <c:f>Sheet1!$B$2:$B$4</c:f>
              <c:numCache>
                <c:formatCode>General</c:formatCode>
                <c:ptCount val="3"/>
                <c:pt idx="0">
                  <c:v>34</c:v>
                </c:pt>
                <c:pt idx="1">
                  <c:v>28</c:v>
                </c:pt>
                <c:pt idx="2">
                  <c:v>78</c:v>
                </c:pt>
              </c:numCache>
            </c:numRef>
          </c:val>
        </c:ser>
        <c:dLbls>
          <c:showLegendKey val="0"/>
          <c:showVal val="1"/>
          <c:showCatName val="0"/>
          <c:showSerName val="0"/>
          <c:showPercent val="0"/>
          <c:showBubbleSize val="0"/>
        </c:dLbls>
      </c:pie3DChart>
      <c:spPr>
        <a:noFill/>
        <a:ln>
          <a:noFill/>
        </a:ln>
        <a:effectLst/>
      </c:spPr>
    </c:plotArea>
    <c:legend>
      <c:legendPos val="r"/>
      <c:layout>
        <c:manualLayout>
          <c:xMode val="edge"/>
          <c:yMode val="edge"/>
          <c:x val="0.785450061652281"/>
          <c:y val="0.758212560386473"/>
        </c:manualLayou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extLst>
      <c:ext uri="{0b15fc19-7d7d-44ad-8c2d-2c3a37ce22c3}">
        <chartProps xmlns="https://web.wps.cn/et/2018/main" chartId="{39f37046-2fa0-4227-b743-6bcfe29b0ae9}"/>
      </c:ext>
    </c:extLst>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2225</Words>
  <Characters>2315</Characters>
  <Lines>0</Lines>
  <Paragraphs>0</Paragraphs>
  <TotalTime>9</TotalTime>
  <ScaleCrop>false</ScaleCrop>
  <LinksUpToDate>false</LinksUpToDate>
  <CharactersWithSpaces>2318</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2022-01-24T02:13:00Z</dcterms:created>
  <dc:creator>Small grass to fish lai</dc:creator>
  <cp:lastModifiedBy>Lenovo</cp:lastModifiedBy>
  <dcterms:modified xsi:type="dcterms:W3CDTF">2024-10-22T03:00:57Z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627E2F4FD75A4F59B0E75609CA8645DC</vt:lpwstr>
  </property>
</Properties>
</file>